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FC1" w:rsidRDefault="00944FC1" w:rsidP="00944FC1">
      <w:bookmarkStart w:id="0" w:name="_GoBack"/>
      <w:bookmarkEnd w:id="0"/>
      <w:r w:rsidRPr="00944FC1">
        <w:rPr>
          <w:rtl/>
        </w:rPr>
        <w:t xml:space="preserve"> </w:t>
      </w: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54"/>
        <w:gridCol w:w="2282"/>
        <w:gridCol w:w="5184"/>
      </w:tblGrid>
      <w:tr w:rsidR="00944FC1" w:rsidRPr="00944FC1" w:rsidTr="00944FC1">
        <w:trPr>
          <w:jc w:val="center"/>
        </w:trPr>
        <w:tc>
          <w:tcPr>
            <w:tcW w:w="1354" w:type="dxa"/>
          </w:tcPr>
          <w:p w:rsidR="00944FC1" w:rsidRPr="00944FC1" w:rsidRDefault="00944FC1" w:rsidP="00944FC1">
            <w:pPr>
              <w:suppressLineNumbers/>
              <w:spacing w:line="360" w:lineRule="auto"/>
              <w:ind w:left="720"/>
              <w:contextualSpacing/>
              <w:jc w:val="both"/>
              <w:rPr>
                <w:rFonts w:ascii="Arial" w:hAnsi="Arial" w:cs="David"/>
                <w:b/>
                <w:bCs/>
                <w:noProof/>
                <w:sz w:val="26"/>
                <w:szCs w:val="26"/>
                <w:rtl/>
              </w:rPr>
            </w:pPr>
            <w:r w:rsidRPr="00944FC1">
              <w:rPr>
                <w:rFonts w:ascii="Arial" w:hAnsi="Arial" w:cs="David" w:hint="cs"/>
                <w:b/>
                <w:bCs/>
                <w:noProof/>
                <w:sz w:val="26"/>
                <w:szCs w:val="26"/>
                <w:rtl/>
              </w:rPr>
              <w:t>ל</w:t>
            </w:r>
            <w:r w:rsidRPr="00944FC1">
              <w:rPr>
                <w:rFonts w:ascii="Arial" w:hAnsi="Arial" w:cs="David"/>
                <w:b/>
                <w:bCs/>
                <w:noProof/>
                <w:sz w:val="26"/>
                <w:szCs w:val="26"/>
                <w:rtl/>
              </w:rPr>
              <w:t xml:space="preserve">פני </w:t>
            </w:r>
          </w:p>
        </w:tc>
        <w:tc>
          <w:tcPr>
            <w:tcW w:w="7466" w:type="dxa"/>
            <w:gridSpan w:val="2"/>
          </w:tcPr>
          <w:p w:rsidR="00944FC1" w:rsidRPr="00944FC1" w:rsidRDefault="00944FC1" w:rsidP="00944FC1">
            <w:pPr>
              <w:suppressLineNumbers/>
              <w:spacing w:line="360" w:lineRule="auto"/>
              <w:ind w:left="720"/>
              <w:contextualSpacing/>
              <w:rPr>
                <w:rFonts w:ascii="Arial" w:hAnsi="Arial" w:cs="David"/>
                <w:b/>
                <w:bCs/>
                <w:noProof/>
                <w:sz w:val="26"/>
                <w:szCs w:val="26"/>
                <w:rtl/>
              </w:rPr>
            </w:pPr>
            <w:r w:rsidRPr="00944FC1">
              <w:rPr>
                <w:rFonts w:ascii="Arial" w:hAnsi="Arial" w:cs="David" w:hint="cs"/>
                <w:b/>
                <w:bCs/>
                <w:noProof/>
                <w:sz w:val="26"/>
                <w:szCs w:val="26"/>
                <w:rtl/>
              </w:rPr>
              <w:t>כבוד ה</w:t>
            </w:r>
            <w:r w:rsidRPr="00944FC1">
              <w:rPr>
                <w:rFonts w:ascii="Arial" w:hAnsi="Arial" w:cs="David"/>
                <w:b/>
                <w:bCs/>
                <w:noProof/>
                <w:sz w:val="26"/>
                <w:szCs w:val="26"/>
                <w:rtl/>
              </w:rPr>
              <w:t>שופטת, סגנית הנשיאה</w:t>
            </w:r>
            <w:r w:rsidRPr="00944FC1">
              <w:rPr>
                <w:rFonts w:ascii="Arial" w:hAnsi="Arial" w:cs="David" w:hint="cs"/>
                <w:b/>
                <w:bCs/>
                <w:noProof/>
                <w:sz w:val="26"/>
                <w:szCs w:val="26"/>
                <w:rtl/>
              </w:rPr>
              <w:t xml:space="preserve"> </w:t>
            </w:r>
            <w:r w:rsidRPr="00944FC1">
              <w:rPr>
                <w:rFonts w:ascii="Arial" w:hAnsi="Arial" w:cs="David"/>
                <w:b/>
                <w:bCs/>
                <w:noProof/>
                <w:sz w:val="26"/>
                <w:szCs w:val="26"/>
                <w:rtl/>
              </w:rPr>
              <w:t>חנה קיציס</w:t>
            </w:r>
          </w:p>
          <w:p w:rsidR="00944FC1" w:rsidRPr="00944FC1" w:rsidRDefault="00944FC1" w:rsidP="00944FC1">
            <w:pPr>
              <w:suppressLineNumbers/>
              <w:spacing w:line="360" w:lineRule="auto"/>
              <w:ind w:left="720"/>
              <w:contextualSpacing/>
              <w:rPr>
                <w:rFonts w:ascii="Arial" w:hAnsi="Arial" w:cs="David"/>
                <w:b/>
                <w:bCs/>
                <w:noProof/>
                <w:sz w:val="26"/>
                <w:szCs w:val="26"/>
              </w:rPr>
            </w:pPr>
          </w:p>
        </w:tc>
      </w:tr>
      <w:tr w:rsidR="00944FC1" w:rsidRPr="00944FC1" w:rsidTr="00944FC1">
        <w:trPr>
          <w:jc w:val="center"/>
        </w:trPr>
        <w:tc>
          <w:tcPr>
            <w:tcW w:w="3636" w:type="dxa"/>
            <w:gridSpan w:val="2"/>
          </w:tcPr>
          <w:p w:rsidR="00944FC1" w:rsidRPr="00944FC1" w:rsidRDefault="00944FC1" w:rsidP="00944FC1">
            <w:pPr>
              <w:suppressLineNumbers/>
              <w:spacing w:line="360" w:lineRule="auto"/>
              <w:ind w:left="720"/>
              <w:contextualSpacing/>
              <w:rPr>
                <w:rFonts w:ascii="Arial" w:hAnsi="Arial" w:cs="David"/>
                <w:b/>
                <w:bCs/>
                <w:sz w:val="26"/>
                <w:szCs w:val="26"/>
                <w:rtl/>
              </w:rPr>
            </w:pPr>
            <w:r w:rsidRPr="00944FC1">
              <w:rPr>
                <w:rFonts w:ascii="Arial" w:hAnsi="Arial" w:cs="David"/>
                <w:b/>
                <w:bCs/>
                <w:sz w:val="26"/>
                <w:szCs w:val="26"/>
                <w:rtl/>
              </w:rPr>
              <w:t>תובעים</w:t>
            </w:r>
          </w:p>
        </w:tc>
        <w:tc>
          <w:tcPr>
            <w:tcW w:w="5184" w:type="dxa"/>
          </w:tcPr>
          <w:p w:rsidR="00944FC1" w:rsidRPr="00944FC1" w:rsidRDefault="00944FC1" w:rsidP="00944FC1">
            <w:pPr>
              <w:suppressLineNumbers/>
              <w:spacing w:line="360" w:lineRule="auto"/>
              <w:ind w:left="720"/>
              <w:contextualSpacing/>
              <w:rPr>
                <w:rFonts w:cs="David"/>
                <w:b/>
                <w:bCs/>
                <w:sz w:val="26"/>
                <w:szCs w:val="26"/>
              </w:rPr>
            </w:pPr>
            <w:r w:rsidRPr="00944FC1">
              <w:rPr>
                <w:rFonts w:ascii="Arial" w:hAnsi="Arial" w:cs="David"/>
                <w:b/>
                <w:bCs/>
                <w:sz w:val="26"/>
                <w:szCs w:val="26"/>
                <w:rtl/>
              </w:rPr>
              <w:t>1.</w:t>
            </w:r>
            <w:r w:rsidRPr="00944FC1">
              <w:rPr>
                <w:rFonts w:ascii="Arial" w:hAnsi="Arial" w:cs="David" w:hint="cs"/>
                <w:b/>
                <w:bCs/>
                <w:sz w:val="26"/>
                <w:szCs w:val="26"/>
                <w:rtl/>
              </w:rPr>
              <w:t xml:space="preserve"> </w:t>
            </w:r>
            <w:r>
              <w:rPr>
                <w:rFonts w:ascii="Arial" w:hAnsi="Arial" w:cs="David" w:hint="cs"/>
                <w:b/>
                <w:bCs/>
                <w:sz w:val="26"/>
                <w:szCs w:val="26"/>
                <w:rtl/>
              </w:rPr>
              <w:t xml:space="preserve">פלוני </w:t>
            </w:r>
          </w:p>
          <w:p w:rsidR="00944FC1" w:rsidRPr="00944FC1" w:rsidRDefault="00944FC1" w:rsidP="00944FC1">
            <w:pPr>
              <w:suppressLineNumbers/>
              <w:spacing w:line="360" w:lineRule="auto"/>
              <w:ind w:left="720"/>
              <w:contextualSpacing/>
              <w:rPr>
                <w:rFonts w:cs="David"/>
                <w:b/>
                <w:bCs/>
                <w:sz w:val="26"/>
                <w:szCs w:val="26"/>
              </w:rPr>
            </w:pPr>
            <w:r w:rsidRPr="00944FC1">
              <w:rPr>
                <w:rFonts w:ascii="Arial" w:hAnsi="Arial" w:cs="David"/>
                <w:b/>
                <w:bCs/>
                <w:sz w:val="26"/>
                <w:szCs w:val="26"/>
                <w:rtl/>
              </w:rPr>
              <w:t>2.</w:t>
            </w:r>
            <w:r w:rsidRPr="00944FC1">
              <w:rPr>
                <w:rFonts w:ascii="Arial" w:hAnsi="Arial" w:cs="David" w:hint="cs"/>
                <w:b/>
                <w:bCs/>
                <w:sz w:val="26"/>
                <w:szCs w:val="26"/>
                <w:rtl/>
              </w:rPr>
              <w:t xml:space="preserve"> </w:t>
            </w:r>
            <w:r>
              <w:rPr>
                <w:rFonts w:ascii="Arial" w:hAnsi="Arial" w:cs="David" w:hint="cs"/>
                <w:b/>
                <w:bCs/>
                <w:sz w:val="26"/>
                <w:szCs w:val="26"/>
                <w:rtl/>
              </w:rPr>
              <w:t xml:space="preserve">פלונית </w:t>
            </w:r>
          </w:p>
          <w:p w:rsidR="00944FC1" w:rsidRPr="00944FC1" w:rsidRDefault="00944FC1" w:rsidP="00944FC1">
            <w:pPr>
              <w:suppressLineNumbers/>
              <w:spacing w:line="360" w:lineRule="auto"/>
              <w:ind w:left="720"/>
              <w:contextualSpacing/>
              <w:rPr>
                <w:rFonts w:cs="David"/>
                <w:noProof/>
                <w:sz w:val="24"/>
                <w:szCs w:val="24"/>
                <w:rtl/>
              </w:rPr>
            </w:pPr>
            <w:r w:rsidRPr="00944FC1">
              <w:rPr>
                <w:rFonts w:ascii="Arial" w:hAnsi="Arial" w:cs="David"/>
                <w:b/>
                <w:bCs/>
                <w:sz w:val="26"/>
                <w:szCs w:val="26"/>
                <w:rtl/>
              </w:rPr>
              <w:t>3.</w:t>
            </w:r>
            <w:r w:rsidRPr="00944FC1">
              <w:rPr>
                <w:rFonts w:ascii="Arial" w:hAnsi="Arial" w:cs="David" w:hint="cs"/>
                <w:b/>
                <w:bCs/>
                <w:sz w:val="26"/>
                <w:szCs w:val="26"/>
                <w:rtl/>
              </w:rPr>
              <w:t xml:space="preserve"> </w:t>
            </w:r>
            <w:r>
              <w:rPr>
                <w:rFonts w:ascii="Arial" w:hAnsi="Arial" w:cs="David" w:hint="cs"/>
                <w:b/>
                <w:bCs/>
                <w:sz w:val="26"/>
                <w:szCs w:val="26"/>
                <w:rtl/>
              </w:rPr>
              <w:t xml:space="preserve">פלונית </w:t>
            </w:r>
          </w:p>
          <w:p w:rsidR="00944FC1" w:rsidRPr="00944FC1" w:rsidRDefault="00944FC1" w:rsidP="00944FC1">
            <w:pPr>
              <w:suppressLineNumbers/>
              <w:spacing w:line="360" w:lineRule="auto"/>
              <w:ind w:left="720"/>
              <w:contextualSpacing/>
              <w:rPr>
                <w:rFonts w:cs="David"/>
                <w:b/>
                <w:bCs/>
                <w:sz w:val="26"/>
                <w:szCs w:val="26"/>
              </w:rPr>
            </w:pPr>
            <w:r w:rsidRPr="00944FC1">
              <w:rPr>
                <w:rFonts w:ascii="Arial" w:hAnsi="Arial" w:cs="David"/>
                <w:b/>
                <w:bCs/>
                <w:sz w:val="26"/>
                <w:szCs w:val="26"/>
                <w:rtl/>
              </w:rPr>
              <w:t>ע"י ב"כ עוה"ד</w:t>
            </w:r>
            <w:r w:rsidRPr="00944FC1">
              <w:rPr>
                <w:rFonts w:cs="David" w:hint="cs"/>
                <w:b/>
                <w:bCs/>
                <w:sz w:val="26"/>
                <w:szCs w:val="26"/>
                <w:rtl/>
              </w:rPr>
              <w:t xml:space="preserve"> רמי פילו וטל מסר </w:t>
            </w:r>
          </w:p>
        </w:tc>
      </w:tr>
      <w:tr w:rsidR="00944FC1" w:rsidRPr="00944FC1" w:rsidTr="007326EC">
        <w:trPr>
          <w:jc w:val="center"/>
        </w:trPr>
        <w:tc>
          <w:tcPr>
            <w:tcW w:w="8820" w:type="dxa"/>
            <w:gridSpan w:val="3"/>
          </w:tcPr>
          <w:p w:rsidR="00944FC1" w:rsidRPr="00944FC1" w:rsidRDefault="00944FC1" w:rsidP="00944FC1">
            <w:pPr>
              <w:suppressLineNumbers/>
              <w:spacing w:line="360" w:lineRule="auto"/>
              <w:ind w:left="720"/>
              <w:contextualSpacing/>
              <w:rPr>
                <w:rFonts w:ascii="Arial" w:hAnsi="Arial" w:cs="David"/>
                <w:b/>
                <w:bCs/>
                <w:sz w:val="26"/>
                <w:szCs w:val="26"/>
                <w:rtl/>
              </w:rPr>
            </w:pPr>
          </w:p>
          <w:p w:rsidR="00944FC1" w:rsidRPr="00944FC1" w:rsidRDefault="00944FC1" w:rsidP="00944FC1">
            <w:pPr>
              <w:suppressLineNumbers/>
              <w:spacing w:line="360" w:lineRule="auto"/>
              <w:ind w:left="720"/>
              <w:contextualSpacing/>
              <w:jc w:val="center"/>
              <w:rPr>
                <w:rFonts w:ascii="Arial" w:hAnsi="Arial" w:cs="David"/>
                <w:b/>
                <w:bCs/>
                <w:sz w:val="26"/>
                <w:szCs w:val="26"/>
                <w:rtl/>
              </w:rPr>
            </w:pPr>
            <w:r w:rsidRPr="00944FC1">
              <w:rPr>
                <w:rFonts w:ascii="Arial" w:hAnsi="Arial" w:cs="David"/>
                <w:b/>
                <w:bCs/>
                <w:sz w:val="26"/>
                <w:szCs w:val="26"/>
                <w:rtl/>
              </w:rPr>
              <w:t>נגד</w:t>
            </w:r>
          </w:p>
          <w:p w:rsidR="00944FC1" w:rsidRPr="00944FC1" w:rsidRDefault="00944FC1" w:rsidP="00944FC1">
            <w:pPr>
              <w:suppressLineNumbers/>
              <w:spacing w:line="360" w:lineRule="auto"/>
              <w:ind w:left="720"/>
              <w:contextualSpacing/>
              <w:rPr>
                <w:rFonts w:ascii="Arial" w:hAnsi="Arial" w:cs="David"/>
                <w:b/>
                <w:bCs/>
                <w:sz w:val="26"/>
                <w:szCs w:val="26"/>
              </w:rPr>
            </w:pPr>
          </w:p>
        </w:tc>
      </w:tr>
      <w:tr w:rsidR="00944FC1" w:rsidRPr="00944FC1" w:rsidTr="00944FC1">
        <w:trPr>
          <w:jc w:val="center"/>
        </w:trPr>
        <w:tc>
          <w:tcPr>
            <w:tcW w:w="3636" w:type="dxa"/>
            <w:gridSpan w:val="2"/>
          </w:tcPr>
          <w:p w:rsidR="00944FC1" w:rsidRPr="00944FC1" w:rsidRDefault="00944FC1" w:rsidP="00944FC1">
            <w:pPr>
              <w:suppressLineNumbers/>
              <w:spacing w:line="360" w:lineRule="auto"/>
              <w:ind w:left="720"/>
              <w:contextualSpacing/>
              <w:rPr>
                <w:rFonts w:ascii="Arial" w:hAnsi="Arial" w:cs="David"/>
                <w:b/>
                <w:bCs/>
                <w:sz w:val="26"/>
                <w:szCs w:val="26"/>
              </w:rPr>
            </w:pPr>
            <w:r w:rsidRPr="00944FC1">
              <w:rPr>
                <w:rFonts w:ascii="Arial" w:hAnsi="Arial" w:cs="David"/>
                <w:b/>
                <w:bCs/>
                <w:sz w:val="26"/>
                <w:szCs w:val="26"/>
                <w:rtl/>
              </w:rPr>
              <w:t>נתבעים</w:t>
            </w:r>
          </w:p>
        </w:tc>
        <w:tc>
          <w:tcPr>
            <w:tcW w:w="5184" w:type="dxa"/>
          </w:tcPr>
          <w:p w:rsidR="00944FC1" w:rsidRPr="00944FC1" w:rsidRDefault="00944FC1" w:rsidP="00944FC1">
            <w:pPr>
              <w:pStyle w:val="a4"/>
              <w:numPr>
                <w:ilvl w:val="0"/>
                <w:numId w:val="2"/>
              </w:numPr>
              <w:suppressLineNumbers/>
              <w:spacing w:line="360" w:lineRule="auto"/>
              <w:rPr>
                <w:rFonts w:cs="David"/>
                <w:noProof/>
                <w:sz w:val="24"/>
                <w:szCs w:val="24"/>
              </w:rPr>
            </w:pPr>
            <w:r>
              <w:rPr>
                <w:rFonts w:ascii="Arial" w:hAnsi="Arial" w:cs="David" w:hint="cs"/>
                <w:b/>
                <w:bCs/>
                <w:sz w:val="26"/>
                <w:szCs w:val="26"/>
                <w:rtl/>
              </w:rPr>
              <w:t>פלונית</w:t>
            </w:r>
          </w:p>
          <w:p w:rsidR="00944FC1" w:rsidRPr="00944FC1" w:rsidRDefault="00944FC1" w:rsidP="00944FC1">
            <w:pPr>
              <w:pStyle w:val="a4"/>
              <w:numPr>
                <w:ilvl w:val="0"/>
                <w:numId w:val="2"/>
              </w:numPr>
              <w:suppressLineNumbers/>
              <w:spacing w:line="360" w:lineRule="auto"/>
              <w:rPr>
                <w:rFonts w:cs="David"/>
                <w:noProof/>
                <w:sz w:val="24"/>
                <w:szCs w:val="24"/>
                <w:rtl/>
              </w:rPr>
            </w:pPr>
            <w:r>
              <w:rPr>
                <w:rFonts w:ascii="Arial" w:hAnsi="Arial" w:cs="David" w:hint="cs"/>
                <w:b/>
                <w:bCs/>
                <w:sz w:val="26"/>
                <w:szCs w:val="26"/>
                <w:rtl/>
              </w:rPr>
              <w:t>חברת ד.ש.</w:t>
            </w:r>
          </w:p>
          <w:p w:rsidR="00944FC1" w:rsidRPr="00944FC1" w:rsidRDefault="00944FC1" w:rsidP="00944FC1">
            <w:pPr>
              <w:suppressLineNumbers/>
              <w:spacing w:line="360" w:lineRule="auto"/>
              <w:ind w:left="720"/>
              <w:contextualSpacing/>
              <w:rPr>
                <w:rFonts w:cs="David"/>
                <w:noProof/>
                <w:sz w:val="24"/>
                <w:szCs w:val="24"/>
                <w:rtl/>
              </w:rPr>
            </w:pPr>
            <w:r w:rsidRPr="00944FC1">
              <w:rPr>
                <w:rFonts w:ascii="Arial" w:hAnsi="Arial" w:cs="David"/>
                <w:b/>
                <w:bCs/>
                <w:sz w:val="26"/>
                <w:szCs w:val="26"/>
                <w:rtl/>
              </w:rPr>
              <w:t>ע"י ב"כ עוה"ד</w:t>
            </w:r>
            <w:r w:rsidRPr="00944FC1">
              <w:rPr>
                <w:rFonts w:cs="David" w:hint="cs"/>
                <w:noProof/>
                <w:sz w:val="24"/>
                <w:szCs w:val="24"/>
                <w:rtl/>
              </w:rPr>
              <w:t xml:space="preserve"> </w:t>
            </w:r>
            <w:r w:rsidRPr="00944FC1">
              <w:rPr>
                <w:rFonts w:cs="David" w:hint="cs"/>
                <w:b/>
                <w:bCs/>
                <w:noProof/>
                <w:sz w:val="24"/>
                <w:szCs w:val="24"/>
                <w:rtl/>
              </w:rPr>
              <w:t>נאווה פרס</w:t>
            </w:r>
          </w:p>
        </w:tc>
      </w:tr>
    </w:tbl>
    <w:p w:rsidR="00944FC1" w:rsidRPr="00944FC1" w:rsidRDefault="00944FC1" w:rsidP="00944FC1">
      <w:pPr>
        <w:suppressLineNumbers/>
        <w:spacing w:after="0" w:line="360" w:lineRule="auto"/>
        <w:rPr>
          <w:rFonts w:ascii="Times New Roman" w:eastAsia="Times New Roman" w:hAnsi="Times New Roman" w:cs="David"/>
          <w:noProof/>
          <w:sz w:val="24"/>
          <w:szCs w:val="24"/>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44FC1" w:rsidRPr="00944FC1" w:rsidTr="007326EC">
        <w:trPr>
          <w:jc w:val="center"/>
        </w:trPr>
        <w:tc>
          <w:tcPr>
            <w:tcW w:w="8820" w:type="dxa"/>
          </w:tcPr>
          <w:p w:rsidR="00944FC1" w:rsidRPr="00944FC1" w:rsidRDefault="00944FC1" w:rsidP="00944FC1">
            <w:pPr>
              <w:bidi w:val="0"/>
              <w:spacing w:line="360" w:lineRule="auto"/>
              <w:ind w:left="720"/>
              <w:contextualSpacing/>
              <w:jc w:val="center"/>
              <w:rPr>
                <w:rFonts w:ascii="Arial" w:hAnsi="Arial" w:cs="David"/>
                <w:b/>
                <w:bCs/>
                <w:sz w:val="28"/>
                <w:szCs w:val="28"/>
                <w:u w:val="single"/>
              </w:rPr>
            </w:pPr>
            <w:r w:rsidRPr="00944FC1">
              <w:rPr>
                <w:rFonts w:ascii="Arial" w:hAnsi="Arial" w:cs="David" w:hint="cs"/>
                <w:b/>
                <w:bCs/>
                <w:sz w:val="28"/>
                <w:szCs w:val="28"/>
                <w:u w:val="single"/>
                <w:rtl/>
              </w:rPr>
              <w:t>פסק דין</w:t>
            </w:r>
          </w:p>
        </w:tc>
      </w:tr>
    </w:tbl>
    <w:p w:rsidR="00944FC1" w:rsidRPr="00944FC1" w:rsidRDefault="00944FC1" w:rsidP="00944FC1">
      <w:pPr>
        <w:spacing w:after="0" w:line="360" w:lineRule="auto"/>
        <w:mirrorIndents/>
        <w:jc w:val="both"/>
        <w:rPr>
          <w:rFonts w:ascii="David" w:eastAsia="Calibri" w:hAnsi="David" w:cs="David"/>
          <w:sz w:val="24"/>
          <w:szCs w:val="24"/>
          <w:rtl/>
        </w:rPr>
      </w:pPr>
      <w:bookmarkStart w:id="1" w:name="NGCSBookmark"/>
      <w:bookmarkEnd w:id="1"/>
    </w:p>
    <w:p w:rsidR="00944FC1" w:rsidRPr="00944FC1" w:rsidRDefault="00944FC1" w:rsidP="00944FC1">
      <w:pPr>
        <w:spacing w:after="0" w:line="360" w:lineRule="auto"/>
        <w:mirrorIndents/>
        <w:jc w:val="both"/>
        <w:rPr>
          <w:rFonts w:ascii="David" w:eastAsia="Calibri" w:hAnsi="David" w:cs="David"/>
          <w:sz w:val="24"/>
          <w:szCs w:val="24"/>
          <w:rtl/>
        </w:rPr>
      </w:pPr>
      <w:r w:rsidRPr="00944FC1">
        <w:rPr>
          <w:rFonts w:ascii="David" w:eastAsia="Calibri" w:hAnsi="David" w:cs="David"/>
          <w:sz w:val="24"/>
          <w:szCs w:val="24"/>
          <w:rtl/>
        </w:rPr>
        <w:t xml:space="preserve">לפניי שלוש תביעות הקשורות לעיזבון האחים המנוחים </w:t>
      </w:r>
      <w:r>
        <w:rPr>
          <w:rFonts w:ascii="David" w:eastAsia="Calibri" w:hAnsi="David" w:cs="David" w:hint="cs"/>
          <w:sz w:val="24"/>
          <w:szCs w:val="24"/>
          <w:rtl/>
        </w:rPr>
        <w:t xml:space="preserve">ח.מ </w:t>
      </w:r>
      <w:r w:rsidRPr="00944FC1">
        <w:rPr>
          <w:rFonts w:ascii="David" w:eastAsia="Calibri" w:hAnsi="David" w:cs="David"/>
          <w:sz w:val="24"/>
          <w:szCs w:val="24"/>
          <w:rtl/>
        </w:rPr>
        <w:t xml:space="preserve">ז"ל </w:t>
      </w:r>
      <w:r>
        <w:rPr>
          <w:rFonts w:ascii="David" w:eastAsia="Calibri" w:hAnsi="David" w:cs="David" w:hint="cs"/>
          <w:sz w:val="24"/>
          <w:szCs w:val="24"/>
          <w:rtl/>
        </w:rPr>
        <w:t xml:space="preserve">ומ.מ </w:t>
      </w:r>
      <w:r w:rsidRPr="00944FC1">
        <w:rPr>
          <w:rFonts w:ascii="David" w:eastAsia="Calibri" w:hAnsi="David" w:cs="David"/>
          <w:sz w:val="24"/>
          <w:szCs w:val="24"/>
          <w:rtl/>
        </w:rPr>
        <w:t xml:space="preserve">ז"ל. בחייהם היו למנוחים נכסים נפרדים ומשותפים. חלק ניכר מחייהם הם חיו בקרבה זה לזה, פיזית ונפשית. בשנות חייהם האחרונות נפל ביניהם סכסוך מר. לאחר פטירתם המשיכה המחלוקת בין היורשים, שהובילה לבסוף להגשת התביעות. </w:t>
      </w:r>
    </w:p>
    <w:p w:rsidR="00944FC1" w:rsidRPr="00944FC1" w:rsidRDefault="00944FC1" w:rsidP="00944FC1">
      <w:pPr>
        <w:spacing w:after="0" w:line="360" w:lineRule="auto"/>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מר </w:t>
      </w:r>
      <w:r>
        <w:rPr>
          <w:rFonts w:ascii="David" w:eastAsia="Calibri" w:hAnsi="David" w:cs="David" w:hint="cs"/>
          <w:sz w:val="24"/>
          <w:szCs w:val="24"/>
          <w:rtl/>
        </w:rPr>
        <w:t xml:space="preserve">ש.מ </w:t>
      </w:r>
      <w:r w:rsidRPr="00944FC1">
        <w:rPr>
          <w:rFonts w:ascii="David" w:eastAsia="Calibri" w:hAnsi="David" w:cs="David"/>
          <w:sz w:val="24"/>
          <w:szCs w:val="24"/>
          <w:rtl/>
        </w:rPr>
        <w:t xml:space="preserve">(להלן: </w:t>
      </w:r>
      <w:r w:rsidRPr="00944FC1">
        <w:rPr>
          <w:rFonts w:ascii="David" w:eastAsia="Calibri" w:hAnsi="David" w:cs="David"/>
          <w:b/>
          <w:bCs/>
          <w:sz w:val="24"/>
          <w:szCs w:val="24"/>
          <w:rtl/>
        </w:rPr>
        <w:t>ש</w:t>
      </w:r>
      <w:r>
        <w:rPr>
          <w:rFonts w:ascii="David" w:eastAsia="Calibri" w:hAnsi="David" w:cs="David" w:hint="cs"/>
          <w:b/>
          <w:bCs/>
          <w:sz w:val="24"/>
          <w:szCs w:val="24"/>
          <w:rtl/>
        </w:rPr>
        <w:t>.</w:t>
      </w:r>
      <w:r w:rsidRPr="00944FC1">
        <w:rPr>
          <w:rFonts w:ascii="David" w:eastAsia="Calibri" w:hAnsi="David" w:cs="David"/>
          <w:b/>
          <w:bCs/>
          <w:sz w:val="24"/>
          <w:szCs w:val="24"/>
          <w:rtl/>
        </w:rPr>
        <w:t>)</w:t>
      </w:r>
      <w:r w:rsidRPr="00944FC1">
        <w:rPr>
          <w:rFonts w:ascii="David" w:eastAsia="Calibri" w:hAnsi="David" w:cs="David"/>
          <w:sz w:val="24"/>
          <w:szCs w:val="24"/>
          <w:rtl/>
        </w:rPr>
        <w:t xml:space="preserve">, גב' </w:t>
      </w:r>
      <w:r>
        <w:rPr>
          <w:rFonts w:ascii="David" w:eastAsia="Calibri" w:hAnsi="David" w:cs="David" w:hint="cs"/>
          <w:sz w:val="24"/>
          <w:szCs w:val="24"/>
          <w:rtl/>
        </w:rPr>
        <w:t xml:space="preserve">ר.ד. </w:t>
      </w:r>
      <w:r w:rsidRPr="00944FC1">
        <w:rPr>
          <w:rFonts w:ascii="David" w:eastAsia="Calibri" w:hAnsi="David" w:cs="David"/>
          <w:sz w:val="24"/>
          <w:szCs w:val="24"/>
          <w:rtl/>
        </w:rPr>
        <w:t xml:space="preserve">(להלן: </w:t>
      </w:r>
      <w:r>
        <w:rPr>
          <w:rFonts w:ascii="David" w:eastAsia="Calibri" w:hAnsi="David" w:cs="David"/>
          <w:b/>
          <w:bCs/>
          <w:sz w:val="24"/>
          <w:szCs w:val="24"/>
          <w:rtl/>
        </w:rPr>
        <w:t>ר</w:t>
      </w:r>
      <w:r>
        <w:rPr>
          <w:rFonts w:ascii="David" w:eastAsia="Calibri" w:hAnsi="David" w:cs="David" w:hint="cs"/>
          <w:b/>
          <w:bCs/>
          <w:sz w:val="24"/>
          <w:szCs w:val="24"/>
          <w:rtl/>
        </w:rPr>
        <w:t>.</w:t>
      </w:r>
      <w:r w:rsidRPr="00944FC1">
        <w:rPr>
          <w:rFonts w:ascii="David" w:eastAsia="Calibri" w:hAnsi="David" w:cs="David"/>
          <w:sz w:val="24"/>
          <w:szCs w:val="24"/>
          <w:rtl/>
        </w:rPr>
        <w:t xml:space="preserve">) וגב' </w:t>
      </w:r>
      <w:r>
        <w:rPr>
          <w:rFonts w:ascii="David" w:eastAsia="Calibri" w:hAnsi="David" w:cs="David" w:hint="cs"/>
          <w:sz w:val="24"/>
          <w:szCs w:val="24"/>
          <w:rtl/>
        </w:rPr>
        <w:t>כ.מ.</w:t>
      </w:r>
      <w:r w:rsidRPr="00944FC1">
        <w:rPr>
          <w:rFonts w:ascii="David" w:eastAsia="Calibri" w:hAnsi="David" w:cs="David"/>
          <w:sz w:val="24"/>
          <w:szCs w:val="24"/>
          <w:rtl/>
        </w:rPr>
        <w:t xml:space="preserve">(להלן: </w:t>
      </w:r>
      <w:r>
        <w:rPr>
          <w:rFonts w:ascii="David" w:eastAsia="Calibri" w:hAnsi="David" w:cs="David" w:hint="cs"/>
          <w:b/>
          <w:bCs/>
          <w:sz w:val="24"/>
          <w:szCs w:val="24"/>
          <w:rtl/>
        </w:rPr>
        <w:t xml:space="preserve">כ. </w:t>
      </w:r>
      <w:r w:rsidRPr="00944FC1">
        <w:rPr>
          <w:rFonts w:ascii="David" w:eastAsia="Calibri" w:hAnsi="David" w:cs="David"/>
          <w:sz w:val="24"/>
          <w:szCs w:val="24"/>
          <w:rtl/>
        </w:rPr>
        <w:t xml:space="preserve">ושלושתם ביחד: </w:t>
      </w:r>
      <w:r w:rsidRPr="00944FC1">
        <w:rPr>
          <w:rFonts w:ascii="David" w:eastAsia="Calibri" w:hAnsi="David" w:cs="David"/>
          <w:b/>
          <w:bCs/>
          <w:sz w:val="24"/>
          <w:szCs w:val="24"/>
          <w:rtl/>
        </w:rPr>
        <w:t>התובעים</w:t>
      </w:r>
      <w:r w:rsidRPr="00944FC1">
        <w:rPr>
          <w:rFonts w:ascii="David" w:eastAsia="Calibri" w:hAnsi="David" w:cs="David"/>
          <w:sz w:val="24"/>
          <w:szCs w:val="24"/>
          <w:rtl/>
        </w:rPr>
        <w:t xml:space="preserve">). התובעים הם ילדיו של המנוח מר </w:t>
      </w:r>
      <w:r>
        <w:rPr>
          <w:rFonts w:ascii="David" w:eastAsia="Calibri" w:hAnsi="David" w:cs="David" w:hint="cs"/>
          <w:sz w:val="24"/>
          <w:szCs w:val="24"/>
          <w:rtl/>
        </w:rPr>
        <w:t xml:space="preserve">מ.מ. </w:t>
      </w:r>
      <w:r w:rsidRPr="00944FC1">
        <w:rPr>
          <w:rFonts w:ascii="David" w:eastAsia="Calibri" w:hAnsi="David" w:cs="David"/>
          <w:sz w:val="24"/>
          <w:szCs w:val="24"/>
          <w:rtl/>
        </w:rPr>
        <w:t xml:space="preserve">ויורשיו על פי צוואתו (להלן: </w:t>
      </w:r>
      <w:r w:rsidRPr="00944FC1">
        <w:rPr>
          <w:rFonts w:ascii="David" w:eastAsia="Calibri" w:hAnsi="David" w:cs="David"/>
          <w:b/>
          <w:bCs/>
          <w:sz w:val="24"/>
          <w:szCs w:val="24"/>
          <w:rtl/>
        </w:rPr>
        <w:t>מ</w:t>
      </w:r>
      <w:r>
        <w:rPr>
          <w:rFonts w:ascii="David" w:eastAsia="Calibri" w:hAnsi="David" w:cs="David" w:hint="cs"/>
          <w:b/>
          <w:bCs/>
          <w:sz w:val="24"/>
          <w:szCs w:val="24"/>
          <w:rtl/>
        </w:rPr>
        <w:t>.</w:t>
      </w:r>
      <w:r w:rsidRPr="00944FC1">
        <w:rPr>
          <w:rFonts w:ascii="David" w:eastAsia="Calibri" w:hAnsi="David" w:cs="David"/>
          <w:sz w:val="24"/>
          <w:szCs w:val="24"/>
          <w:rtl/>
        </w:rPr>
        <w:t xml:space="preserve">). הנתבעת, גב' </w:t>
      </w:r>
      <w:r>
        <w:rPr>
          <w:rFonts w:ascii="David" w:eastAsia="Calibri" w:hAnsi="David" w:cs="David" w:hint="cs"/>
          <w:sz w:val="24"/>
          <w:szCs w:val="24"/>
          <w:rtl/>
        </w:rPr>
        <w:t xml:space="preserve">א.מ. </w:t>
      </w:r>
      <w:r w:rsidRPr="00944FC1">
        <w:rPr>
          <w:rFonts w:ascii="David" w:eastAsia="Calibri" w:hAnsi="David" w:cs="David"/>
          <w:sz w:val="24"/>
          <w:szCs w:val="24"/>
          <w:rtl/>
        </w:rPr>
        <w:t>(להלן:</w:t>
      </w:r>
      <w:r w:rsidRPr="00944FC1">
        <w:rPr>
          <w:rFonts w:ascii="David" w:eastAsia="Calibri" w:hAnsi="David" w:cs="David"/>
          <w:b/>
          <w:bCs/>
          <w:sz w:val="24"/>
          <w:szCs w:val="24"/>
          <w:rtl/>
        </w:rPr>
        <w:t xml:space="preserve"> א</w:t>
      </w:r>
      <w:r>
        <w:rPr>
          <w:rFonts w:ascii="David" w:eastAsia="Calibri" w:hAnsi="David" w:cs="David" w:hint="cs"/>
          <w:b/>
          <w:bCs/>
          <w:sz w:val="24"/>
          <w:szCs w:val="24"/>
          <w:rtl/>
        </w:rPr>
        <w:t>.</w:t>
      </w:r>
      <w:r w:rsidRPr="00944FC1">
        <w:rPr>
          <w:rFonts w:ascii="David" w:eastAsia="Calibri" w:hAnsi="David" w:cs="David"/>
          <w:sz w:val="24"/>
          <w:szCs w:val="24"/>
          <w:rtl/>
        </w:rPr>
        <w:t xml:space="preserve">) היא אלמנתו של המנוח מר </w:t>
      </w:r>
      <w:r>
        <w:rPr>
          <w:rFonts w:ascii="David" w:eastAsia="Calibri" w:hAnsi="David" w:cs="David" w:hint="cs"/>
          <w:sz w:val="24"/>
          <w:szCs w:val="24"/>
          <w:rtl/>
        </w:rPr>
        <w:t xml:space="preserve">ח.מ. </w:t>
      </w:r>
      <w:r w:rsidRPr="00944FC1">
        <w:rPr>
          <w:rFonts w:ascii="David" w:eastAsia="Calibri" w:hAnsi="David" w:cs="David"/>
          <w:sz w:val="24"/>
          <w:szCs w:val="24"/>
          <w:rtl/>
        </w:rPr>
        <w:t xml:space="preserve">ז"ל והיורשת שלו על פי צוואתו (להלן: </w:t>
      </w:r>
      <w:r w:rsidRPr="00944FC1">
        <w:rPr>
          <w:rFonts w:ascii="David" w:eastAsia="Calibri" w:hAnsi="David" w:cs="David"/>
          <w:b/>
          <w:bCs/>
          <w:sz w:val="24"/>
          <w:szCs w:val="24"/>
          <w:rtl/>
        </w:rPr>
        <w:t>ח</w:t>
      </w:r>
      <w:r>
        <w:rPr>
          <w:rFonts w:ascii="David" w:eastAsia="Calibri" w:hAnsi="David" w:cs="David" w:hint="cs"/>
          <w:b/>
          <w:bCs/>
          <w:sz w:val="24"/>
          <w:szCs w:val="24"/>
          <w:rtl/>
        </w:rPr>
        <w:t>.</w:t>
      </w:r>
      <w:r w:rsidRPr="00944FC1">
        <w:rPr>
          <w:rFonts w:ascii="David" w:eastAsia="Calibri" w:hAnsi="David" w:cs="David"/>
          <w:sz w:val="24"/>
          <w:szCs w:val="24"/>
          <w:rtl/>
        </w:rPr>
        <w:t xml:space="preserve">). </w:t>
      </w:r>
      <w:r>
        <w:rPr>
          <w:rFonts w:ascii="David" w:eastAsia="Calibri" w:hAnsi="David" w:cs="David"/>
          <w:sz w:val="24"/>
          <w:szCs w:val="24"/>
          <w:rtl/>
        </w:rPr>
        <w:t>מ.</w:t>
      </w:r>
      <w:r w:rsidRPr="00944FC1">
        <w:rPr>
          <w:rFonts w:ascii="David" w:eastAsia="Calibri" w:hAnsi="David" w:cs="David"/>
          <w:sz w:val="24"/>
          <w:szCs w:val="24"/>
          <w:rtl/>
        </w:rPr>
        <w:t xml:space="preserve"> נפטר ביום 11.4.2019 ו</w:t>
      </w:r>
      <w:r>
        <w:rPr>
          <w:rFonts w:ascii="David" w:eastAsia="Calibri" w:hAnsi="David" w:cs="David"/>
          <w:sz w:val="24"/>
          <w:szCs w:val="24"/>
          <w:rtl/>
        </w:rPr>
        <w:t>ח.</w:t>
      </w:r>
      <w:r w:rsidRPr="00944FC1">
        <w:rPr>
          <w:rFonts w:ascii="David" w:eastAsia="Calibri" w:hAnsi="David" w:cs="David"/>
          <w:sz w:val="24"/>
          <w:szCs w:val="24"/>
          <w:rtl/>
        </w:rPr>
        <w:t xml:space="preserve"> נפטר ביום 5.7.2020. בסמוך לאחר פטירתו של </w:t>
      </w:r>
      <w:r>
        <w:rPr>
          <w:rFonts w:ascii="David" w:eastAsia="Calibri" w:hAnsi="David" w:cs="David"/>
          <w:sz w:val="24"/>
          <w:szCs w:val="24"/>
          <w:rtl/>
        </w:rPr>
        <w:t>ח.</w:t>
      </w:r>
      <w:r w:rsidRPr="00944FC1">
        <w:rPr>
          <w:rFonts w:ascii="David" w:eastAsia="Calibri" w:hAnsi="David" w:cs="David"/>
          <w:sz w:val="24"/>
          <w:szCs w:val="24"/>
          <w:rtl/>
        </w:rPr>
        <w:t xml:space="preserve">, הגישו התובעים תביעה לפירוק שיתוף בבית משפט השלום בפ"ת, שבהמשך לה הוגשו  התביעות שבפני. </w:t>
      </w:r>
    </w:p>
    <w:p w:rsidR="00944FC1" w:rsidRPr="00944FC1" w:rsidRDefault="00944FC1" w:rsidP="00944FC1">
      <w:pPr>
        <w:spacing w:after="0" w:line="360" w:lineRule="auto"/>
        <w:ind w:left="501"/>
        <w:contextualSpacing/>
        <w:mirrorIndents/>
        <w:jc w:val="both"/>
        <w:rPr>
          <w:rFonts w:ascii="David" w:eastAsia="Calibri" w:hAnsi="David" w:cs="David"/>
          <w:sz w:val="24"/>
          <w:szCs w:val="24"/>
        </w:rPr>
      </w:pPr>
    </w:p>
    <w:p w:rsidR="00944FC1" w:rsidRPr="00944FC1" w:rsidRDefault="00944FC1" w:rsidP="003463A9">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הגישו שתי תביעות בהם מבוקש להצהיר על זכויותיהם במספר נכסי מקרקעין הרשומים על שם </w:t>
      </w:r>
      <w:r>
        <w:rPr>
          <w:rFonts w:ascii="David" w:eastAsia="Calibri" w:hAnsi="David" w:cs="David"/>
          <w:sz w:val="24"/>
          <w:szCs w:val="24"/>
          <w:rtl/>
        </w:rPr>
        <w:t>ח.</w:t>
      </w:r>
      <w:r w:rsidRPr="00944FC1">
        <w:rPr>
          <w:rFonts w:ascii="David" w:eastAsia="Calibri" w:hAnsi="David" w:cs="David"/>
          <w:sz w:val="24"/>
          <w:szCs w:val="24"/>
          <w:rtl/>
        </w:rPr>
        <w:t xml:space="preserve"> ו/או על שם </w:t>
      </w:r>
      <w:r>
        <w:rPr>
          <w:rFonts w:ascii="David" w:eastAsia="Calibri" w:hAnsi="David" w:cs="David"/>
          <w:sz w:val="24"/>
          <w:szCs w:val="24"/>
          <w:rtl/>
        </w:rPr>
        <w:t>א.</w:t>
      </w:r>
      <w:r w:rsidRPr="00944FC1">
        <w:rPr>
          <w:rFonts w:ascii="David" w:eastAsia="Calibri" w:hAnsi="David" w:cs="David"/>
          <w:sz w:val="24"/>
          <w:szCs w:val="24"/>
          <w:rtl/>
        </w:rPr>
        <w:t>. בנוסף ביקשו להצהיר על זכויותיהם בחברת</w:t>
      </w:r>
      <w:r w:rsidR="003463A9">
        <w:rPr>
          <w:rFonts w:ascii="David" w:eastAsia="Calibri" w:hAnsi="David" w:cs="David" w:hint="cs"/>
          <w:sz w:val="24"/>
          <w:szCs w:val="24"/>
          <w:rtl/>
        </w:rPr>
        <w:t xml:space="preserve"> ד.ש.</w:t>
      </w:r>
      <w:r w:rsidRPr="00944FC1">
        <w:rPr>
          <w:rFonts w:ascii="David" w:eastAsia="Calibri" w:hAnsi="David" w:cs="David"/>
          <w:sz w:val="24"/>
          <w:szCs w:val="24"/>
          <w:rtl/>
        </w:rPr>
        <w:t xml:space="preserve">, הנתבעת 2 (להלן: </w:t>
      </w:r>
      <w:r w:rsidRPr="00944FC1">
        <w:rPr>
          <w:rFonts w:ascii="David" w:eastAsia="Calibri" w:hAnsi="David" w:cs="David"/>
          <w:b/>
          <w:bCs/>
          <w:sz w:val="24"/>
          <w:szCs w:val="24"/>
          <w:rtl/>
        </w:rPr>
        <w:t>החברה</w:t>
      </w:r>
      <w:r w:rsidRPr="00944FC1">
        <w:rPr>
          <w:rFonts w:ascii="David" w:eastAsia="Calibri" w:hAnsi="David" w:cs="David"/>
          <w:sz w:val="24"/>
          <w:szCs w:val="24"/>
          <w:rtl/>
        </w:rPr>
        <w:t xml:space="preserve">, </w:t>
      </w:r>
      <w:r>
        <w:rPr>
          <w:rFonts w:ascii="David" w:eastAsia="Calibri" w:hAnsi="David" w:cs="David"/>
          <w:sz w:val="24"/>
          <w:szCs w:val="24"/>
          <w:rtl/>
        </w:rPr>
        <w:t>א.</w:t>
      </w:r>
      <w:r w:rsidRPr="00944FC1">
        <w:rPr>
          <w:rFonts w:ascii="David" w:eastAsia="Calibri" w:hAnsi="David" w:cs="David"/>
          <w:sz w:val="24"/>
          <w:szCs w:val="24"/>
          <w:rtl/>
        </w:rPr>
        <w:t xml:space="preserve"> והחברה ביחד: </w:t>
      </w:r>
      <w:r w:rsidRPr="00944FC1">
        <w:rPr>
          <w:rFonts w:ascii="David" w:eastAsia="Calibri" w:hAnsi="David" w:cs="David"/>
          <w:b/>
          <w:bCs/>
          <w:sz w:val="24"/>
          <w:szCs w:val="24"/>
          <w:rtl/>
        </w:rPr>
        <w:t>הנתבעות</w:t>
      </w:r>
      <w:r w:rsidRPr="00944FC1">
        <w:rPr>
          <w:rFonts w:ascii="David" w:eastAsia="Calibri" w:hAnsi="David" w:cs="David"/>
          <w:sz w:val="24"/>
          <w:szCs w:val="24"/>
          <w:rtl/>
        </w:rPr>
        <w:t xml:space="preserve">). לטענתם, נכסים אלה הוחזקו בנאמנות על ידי </w:t>
      </w:r>
      <w:r>
        <w:rPr>
          <w:rFonts w:ascii="David" w:eastAsia="Calibri" w:hAnsi="David" w:cs="David"/>
          <w:sz w:val="24"/>
          <w:szCs w:val="24"/>
          <w:rtl/>
        </w:rPr>
        <w:lastRenderedPageBreak/>
        <w:t>ח.</w:t>
      </w:r>
      <w:r w:rsidRPr="00944FC1">
        <w:rPr>
          <w:rFonts w:ascii="David" w:eastAsia="Calibri" w:hAnsi="David" w:cs="David"/>
          <w:sz w:val="24"/>
          <w:szCs w:val="24"/>
          <w:rtl/>
        </w:rPr>
        <w:t xml:space="preserve"> ו</w:t>
      </w:r>
      <w:r>
        <w:rPr>
          <w:rFonts w:ascii="David" w:eastAsia="Calibri" w:hAnsi="David" w:cs="David"/>
          <w:sz w:val="24"/>
          <w:szCs w:val="24"/>
          <w:rtl/>
        </w:rPr>
        <w:t>א.</w:t>
      </w:r>
      <w:r w:rsidRPr="00944FC1">
        <w:rPr>
          <w:rFonts w:ascii="David" w:eastAsia="Calibri" w:hAnsi="David" w:cs="David"/>
          <w:sz w:val="24"/>
          <w:szCs w:val="24"/>
          <w:rtl/>
        </w:rPr>
        <w:t xml:space="preserve"> עבור </w:t>
      </w:r>
      <w:r>
        <w:rPr>
          <w:rFonts w:ascii="David" w:eastAsia="Calibri" w:hAnsi="David" w:cs="David"/>
          <w:sz w:val="24"/>
          <w:szCs w:val="24"/>
          <w:rtl/>
        </w:rPr>
        <w:t>מ.</w:t>
      </w:r>
      <w:r w:rsidRPr="00944FC1">
        <w:rPr>
          <w:rFonts w:ascii="David" w:eastAsia="Calibri" w:hAnsi="David" w:cs="David"/>
          <w:sz w:val="24"/>
          <w:szCs w:val="24"/>
          <w:rtl/>
        </w:rPr>
        <w:t>, מכוח הסכמים בעל פה בין האחים או לחילופין מתוך מערכת יחסים משפחתית ומיוחדת שהתקיימה ביניהם.</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D630E5">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בת"א 43509-09-21 טוענים התובעים לזכויות בנכס מקרקעין ברחוב העצמאות </w:t>
      </w:r>
      <w:r w:rsidR="00D630E5">
        <w:rPr>
          <w:rFonts w:ascii="David" w:eastAsia="Calibri" w:hAnsi="David" w:cs="David" w:hint="cs"/>
          <w:sz w:val="24"/>
          <w:szCs w:val="24"/>
        </w:rPr>
        <w:t>XX</w:t>
      </w:r>
      <w:r w:rsidR="00D630E5">
        <w:rPr>
          <w:rFonts w:ascii="David" w:eastAsia="Calibri" w:hAnsi="David" w:cs="David" w:hint="cs"/>
          <w:sz w:val="24"/>
          <w:szCs w:val="24"/>
          <w:rtl/>
        </w:rPr>
        <w:t xml:space="preserve"> </w:t>
      </w:r>
      <w:r w:rsidRPr="00944FC1">
        <w:rPr>
          <w:rFonts w:ascii="David" w:eastAsia="Calibri" w:hAnsi="David" w:cs="David"/>
          <w:sz w:val="24"/>
          <w:szCs w:val="24"/>
          <w:rtl/>
        </w:rPr>
        <w:t xml:space="preserve">ביהוד (להלן: </w:t>
      </w:r>
      <w:r w:rsidRPr="00944FC1">
        <w:rPr>
          <w:rFonts w:ascii="David" w:eastAsia="Calibri" w:hAnsi="David" w:cs="David"/>
          <w:b/>
          <w:bCs/>
          <w:sz w:val="24"/>
          <w:szCs w:val="24"/>
          <w:rtl/>
        </w:rPr>
        <w:t>הנכס בדרך העצמאות</w:t>
      </w:r>
      <w:r w:rsidRPr="00944FC1">
        <w:rPr>
          <w:rFonts w:ascii="David" w:eastAsia="Calibri" w:hAnsi="David" w:cs="David"/>
          <w:sz w:val="24"/>
          <w:szCs w:val="24"/>
          <w:rtl/>
        </w:rPr>
        <w:t xml:space="preserve">), ולהעברת 40% מהון המניות של החברה שמוחזק על ידי </w:t>
      </w:r>
      <w:r>
        <w:rPr>
          <w:rFonts w:ascii="David" w:eastAsia="Calibri" w:hAnsi="David" w:cs="David"/>
          <w:sz w:val="24"/>
          <w:szCs w:val="24"/>
          <w:rtl/>
        </w:rPr>
        <w:t>א.</w:t>
      </w:r>
      <w:r w:rsidRPr="00944FC1">
        <w:rPr>
          <w:rFonts w:ascii="David" w:eastAsia="Calibri" w:hAnsi="David" w:cs="David"/>
          <w:sz w:val="24"/>
          <w:szCs w:val="24"/>
          <w:rtl/>
        </w:rPr>
        <w:t>. בת"א 13817-01-23 טוענים התובעים לקיומה של שותפות בלתי רשומה בשם ח.מ.מ</w:t>
      </w:r>
      <w:r w:rsidR="003463A9">
        <w:rPr>
          <w:rFonts w:ascii="David" w:eastAsia="Calibri" w:hAnsi="David" w:cs="David" w:hint="cs"/>
          <w:sz w:val="24"/>
          <w:szCs w:val="24"/>
          <w:rtl/>
        </w:rPr>
        <w:t>.</w:t>
      </w:r>
      <w:r w:rsidRPr="00944FC1">
        <w:rPr>
          <w:rFonts w:ascii="David" w:eastAsia="Calibri" w:hAnsi="David" w:cs="David"/>
          <w:sz w:val="24"/>
          <w:szCs w:val="24"/>
          <w:rtl/>
        </w:rPr>
        <w:t xml:space="preserve"> שפעלה תחת עוסק מורשה מס' 55717442. הם מבקשים לקבוע שהם זכאים למחצית מהכספים שבחשבון הבנק של השותפות, חשבון בנק לאומי סניף יהוד, וכן לקבוע שחנות ברח' גירון </w:t>
      </w:r>
      <w:r w:rsidR="00D630E5">
        <w:rPr>
          <w:rFonts w:ascii="David" w:eastAsia="Calibri" w:hAnsi="David" w:cs="David" w:hint="cs"/>
          <w:sz w:val="24"/>
          <w:szCs w:val="24"/>
        </w:rPr>
        <w:t>XX</w:t>
      </w:r>
      <w:r w:rsidRPr="00944FC1">
        <w:rPr>
          <w:rFonts w:ascii="David" w:eastAsia="Calibri" w:hAnsi="David" w:cs="David"/>
          <w:sz w:val="24"/>
          <w:szCs w:val="24"/>
          <w:rtl/>
        </w:rPr>
        <w:t xml:space="preserve"> ביהוד הרשומה על שם </w:t>
      </w:r>
      <w:r>
        <w:rPr>
          <w:rFonts w:ascii="David" w:eastAsia="Calibri" w:hAnsi="David" w:cs="David"/>
          <w:sz w:val="24"/>
          <w:szCs w:val="24"/>
          <w:rtl/>
        </w:rPr>
        <w:t>ח.</w:t>
      </w:r>
      <w:r w:rsidRPr="00944FC1">
        <w:rPr>
          <w:rFonts w:ascii="David" w:eastAsia="Calibri" w:hAnsi="David" w:cs="David"/>
          <w:sz w:val="24"/>
          <w:szCs w:val="24"/>
          <w:rtl/>
        </w:rPr>
        <w:t xml:space="preserve">, היא נכס השייך לשותפות (להלן: </w:t>
      </w:r>
      <w:r w:rsidRPr="00944FC1">
        <w:rPr>
          <w:rFonts w:ascii="David" w:eastAsia="Calibri" w:hAnsi="David" w:cs="David"/>
          <w:b/>
          <w:bCs/>
          <w:sz w:val="24"/>
          <w:szCs w:val="24"/>
          <w:rtl/>
        </w:rPr>
        <w:t>החנות</w:t>
      </w:r>
      <w:r w:rsidRPr="00944FC1">
        <w:rPr>
          <w:rFonts w:ascii="David" w:eastAsia="Calibri" w:hAnsi="David" w:cs="David"/>
          <w:sz w:val="24"/>
          <w:szCs w:val="24"/>
          <w:rtl/>
        </w:rPr>
        <w:t xml:space="preserve">). בנוסף הם מבקשים למנות מומחה לצורך עריכת חשבונות השותפות וחלוקת נכסיה.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מבססים את התביעות בין היתר על אמירות מפי </w:t>
      </w:r>
      <w:r>
        <w:rPr>
          <w:rFonts w:ascii="David" w:eastAsia="Calibri" w:hAnsi="David" w:cs="David"/>
          <w:sz w:val="24"/>
          <w:szCs w:val="24"/>
          <w:rtl/>
        </w:rPr>
        <w:t>ח.</w:t>
      </w:r>
      <w:r w:rsidRPr="00944FC1">
        <w:rPr>
          <w:rFonts w:ascii="David" w:eastAsia="Calibri" w:hAnsi="David" w:cs="David"/>
          <w:sz w:val="24"/>
          <w:szCs w:val="24"/>
          <w:rtl/>
        </w:rPr>
        <w:t xml:space="preserve">, בשיחות שהוקלטו בחשאי על ידם במהלך שתי פגישות משפחתיות שהתקיימו בשנת 2011. לטענתם, בשיחות אלה </w:t>
      </w:r>
      <w:r>
        <w:rPr>
          <w:rFonts w:ascii="David" w:eastAsia="Calibri" w:hAnsi="David" w:cs="David"/>
          <w:sz w:val="24"/>
          <w:szCs w:val="24"/>
          <w:rtl/>
        </w:rPr>
        <w:t>ח.</w:t>
      </w:r>
      <w:r w:rsidRPr="00944FC1">
        <w:rPr>
          <w:rFonts w:ascii="David" w:eastAsia="Calibri" w:hAnsi="David" w:cs="David"/>
          <w:sz w:val="24"/>
          <w:szCs w:val="24"/>
          <w:rtl/>
        </w:rPr>
        <w:t xml:space="preserve"> מודה בקיומם של יחסי אמון מיוחדים עם </w:t>
      </w:r>
      <w:r>
        <w:rPr>
          <w:rFonts w:ascii="David" w:eastAsia="Calibri" w:hAnsi="David" w:cs="David"/>
          <w:sz w:val="24"/>
          <w:szCs w:val="24"/>
          <w:rtl/>
        </w:rPr>
        <w:t>מ.</w:t>
      </w:r>
      <w:r w:rsidRPr="00944FC1">
        <w:rPr>
          <w:rFonts w:ascii="David" w:eastAsia="Calibri" w:hAnsi="David" w:cs="David"/>
          <w:sz w:val="24"/>
          <w:szCs w:val="24"/>
          <w:rtl/>
        </w:rPr>
        <w:t xml:space="preserve">, שמכוחם החזיק חלק מהנכסים בנאמנות עבורו או עבור שניהם במשותף. לחילופין, נטען על ידם כי בשיחות אלה </w:t>
      </w:r>
      <w:r>
        <w:rPr>
          <w:rFonts w:ascii="David" w:eastAsia="Calibri" w:hAnsi="David" w:cs="David"/>
          <w:sz w:val="24"/>
          <w:szCs w:val="24"/>
          <w:rtl/>
        </w:rPr>
        <w:t>ח.</w:t>
      </w:r>
      <w:r w:rsidRPr="00944FC1">
        <w:rPr>
          <w:rFonts w:ascii="David" w:eastAsia="Calibri" w:hAnsi="David" w:cs="David"/>
          <w:sz w:val="24"/>
          <w:szCs w:val="24"/>
          <w:rtl/>
        </w:rPr>
        <w:t xml:space="preserve"> התחייב להעביר ל</w:t>
      </w:r>
      <w:r>
        <w:rPr>
          <w:rFonts w:ascii="David" w:eastAsia="Calibri" w:hAnsi="David" w:cs="David"/>
          <w:sz w:val="24"/>
          <w:szCs w:val="24"/>
          <w:rtl/>
        </w:rPr>
        <w:t>מ.</w:t>
      </w:r>
      <w:r w:rsidRPr="00944FC1">
        <w:rPr>
          <w:rFonts w:ascii="David" w:eastAsia="Calibri" w:hAnsi="David" w:cs="David"/>
          <w:sz w:val="24"/>
          <w:szCs w:val="24"/>
          <w:rtl/>
        </w:rPr>
        <w:t xml:space="preserve"> זכויות בנכסים ובחברה.</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הנתבעות טוענות שהנכסים הנ"ל נרכשו במלואם על ידי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א.</w:t>
      </w:r>
      <w:r w:rsidRPr="00944FC1">
        <w:rPr>
          <w:rFonts w:ascii="David" w:eastAsia="Calibri" w:hAnsi="David" w:cs="David"/>
          <w:sz w:val="24"/>
          <w:szCs w:val="24"/>
          <w:rtl/>
        </w:rPr>
        <w:t xml:space="preserve"> וממקורותיהם הכספיים בלבד, ללא כל מימון או השתתפות מצידו של </w:t>
      </w:r>
      <w:r>
        <w:rPr>
          <w:rFonts w:ascii="David" w:eastAsia="Calibri" w:hAnsi="David" w:cs="David"/>
          <w:sz w:val="24"/>
          <w:szCs w:val="24"/>
          <w:rtl/>
        </w:rPr>
        <w:t>מ.</w:t>
      </w:r>
      <w:r w:rsidRPr="00944FC1">
        <w:rPr>
          <w:rFonts w:ascii="David" w:eastAsia="Calibri" w:hAnsi="David" w:cs="David"/>
          <w:sz w:val="24"/>
          <w:szCs w:val="24"/>
          <w:rtl/>
        </w:rPr>
        <w:t>. לשיטתן, התובעים מנסים להפוך את היוצרות בדיעבד, תוך התעלמות מהתנהלות האחים המנוחים בחייהם, ומהצהרות מפורשות שנתנו במסגרת הליכים משפטיים קודמים.</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402910">
      <w:pPr>
        <w:numPr>
          <w:ilvl w:val="0"/>
          <w:numId w:val="1"/>
        </w:numPr>
        <w:spacing w:after="0" w:line="360" w:lineRule="auto"/>
        <w:ind w:left="215" w:hanging="215"/>
        <w:contextualSpacing/>
        <w:mirrorIndents/>
        <w:jc w:val="both"/>
        <w:rPr>
          <w:rFonts w:ascii="David" w:eastAsia="Calibri" w:hAnsi="David" w:cs="David"/>
          <w:b/>
          <w:bCs/>
          <w:sz w:val="24"/>
          <w:szCs w:val="24"/>
        </w:rPr>
      </w:pPr>
      <w:r w:rsidRPr="00944FC1">
        <w:rPr>
          <w:rFonts w:ascii="David" w:eastAsia="Calibri" w:hAnsi="David" w:cs="David"/>
          <w:sz w:val="24"/>
          <w:szCs w:val="24"/>
          <w:rtl/>
        </w:rPr>
        <w:t xml:space="preserve">בת"א 1791-03-21 טוענת </w:t>
      </w:r>
      <w:r>
        <w:rPr>
          <w:rFonts w:ascii="David" w:eastAsia="Calibri" w:hAnsi="David" w:cs="David"/>
          <w:sz w:val="24"/>
          <w:szCs w:val="24"/>
          <w:rtl/>
        </w:rPr>
        <w:t>א.</w:t>
      </w:r>
      <w:r w:rsidRPr="00944FC1">
        <w:rPr>
          <w:rFonts w:ascii="David" w:eastAsia="Calibri" w:hAnsi="David" w:cs="David"/>
          <w:sz w:val="24"/>
          <w:szCs w:val="24"/>
          <w:rtl/>
        </w:rPr>
        <w:t xml:space="preserve"> שמלוא הזכויות בנכס מקרקעין ברחוב לוחמי הגטאות</w:t>
      </w:r>
      <w:r w:rsidR="00402910">
        <w:rPr>
          <w:rFonts w:ascii="David" w:eastAsia="Calibri" w:hAnsi="David" w:cs="David" w:hint="cs"/>
          <w:sz w:val="24"/>
          <w:szCs w:val="24"/>
          <w:rtl/>
        </w:rPr>
        <w:t xml:space="preserve"> </w:t>
      </w:r>
      <w:r w:rsidR="00402910">
        <w:rPr>
          <w:rFonts w:ascii="David" w:eastAsia="Calibri" w:hAnsi="David" w:cs="David" w:hint="cs"/>
          <w:sz w:val="24"/>
          <w:szCs w:val="24"/>
        </w:rPr>
        <w:t>XX</w:t>
      </w:r>
      <w:r w:rsidRPr="00944FC1">
        <w:rPr>
          <w:rFonts w:ascii="David" w:eastAsia="Calibri" w:hAnsi="David" w:cs="David"/>
          <w:sz w:val="24"/>
          <w:szCs w:val="24"/>
          <w:rtl/>
        </w:rPr>
        <w:t xml:space="preserve">, ביהוד שייכות לה, שיש לתקן את הרישום ולהסיר את שמו של </w:t>
      </w:r>
      <w:r>
        <w:rPr>
          <w:rFonts w:ascii="David" w:eastAsia="Calibri" w:hAnsi="David" w:cs="David"/>
          <w:sz w:val="24"/>
          <w:szCs w:val="24"/>
          <w:rtl/>
        </w:rPr>
        <w:t>מ.</w:t>
      </w:r>
      <w:r w:rsidRPr="00944FC1">
        <w:rPr>
          <w:rFonts w:ascii="David" w:eastAsia="Calibri" w:hAnsi="David" w:cs="David"/>
          <w:sz w:val="24"/>
          <w:szCs w:val="24"/>
          <w:rtl/>
        </w:rPr>
        <w:t xml:space="preserve"> שרשום כבעלים של 50% מהזכויות (להלן: </w:t>
      </w:r>
      <w:r w:rsidRPr="00944FC1">
        <w:rPr>
          <w:rFonts w:ascii="David" w:eastAsia="Calibri" w:hAnsi="David" w:cs="David"/>
          <w:b/>
          <w:bCs/>
          <w:sz w:val="24"/>
          <w:szCs w:val="24"/>
          <w:rtl/>
        </w:rPr>
        <w:t>הנכס בלוחמי הגטאות</w:t>
      </w:r>
      <w:r w:rsidRPr="00944FC1">
        <w:rPr>
          <w:rFonts w:ascii="David" w:eastAsia="Calibri" w:hAnsi="David" w:cs="David"/>
          <w:sz w:val="24"/>
          <w:szCs w:val="24"/>
          <w:rtl/>
        </w:rPr>
        <w:t xml:space="preserve">). עוד עתרה לחייב את </w:t>
      </w:r>
      <w:r>
        <w:rPr>
          <w:rFonts w:ascii="David" w:eastAsia="Calibri" w:hAnsi="David" w:cs="David"/>
          <w:sz w:val="24"/>
          <w:szCs w:val="24"/>
          <w:rtl/>
        </w:rPr>
        <w:t>ר.</w:t>
      </w:r>
      <w:r w:rsidRPr="00944FC1">
        <w:rPr>
          <w:rFonts w:ascii="David" w:eastAsia="Calibri" w:hAnsi="David" w:cs="David"/>
          <w:sz w:val="24"/>
          <w:szCs w:val="24"/>
          <w:rtl/>
        </w:rPr>
        <w:t xml:space="preserve">, בתו של </w:t>
      </w:r>
      <w:r>
        <w:rPr>
          <w:rFonts w:ascii="David" w:eastAsia="Calibri" w:hAnsi="David" w:cs="David"/>
          <w:sz w:val="24"/>
          <w:szCs w:val="24"/>
          <w:rtl/>
        </w:rPr>
        <w:t>מ.</w:t>
      </w:r>
      <w:r w:rsidRPr="00944FC1">
        <w:rPr>
          <w:rFonts w:ascii="David" w:eastAsia="Calibri" w:hAnsi="David" w:cs="David"/>
          <w:sz w:val="24"/>
          <w:szCs w:val="24"/>
          <w:rtl/>
        </w:rPr>
        <w:t xml:space="preserve">, בדמי שימוש ראויים בגין מגוריה בנכס זה ולהורות לה לסלק את ידה מן הנכס. </w:t>
      </w:r>
    </w:p>
    <w:p w:rsidR="00944FC1" w:rsidRPr="00944FC1" w:rsidRDefault="00944FC1" w:rsidP="00944FC1">
      <w:pPr>
        <w:spacing w:after="0" w:line="240" w:lineRule="auto"/>
        <w:ind w:left="720"/>
        <w:contextualSpacing/>
        <w:rPr>
          <w:rFonts w:ascii="David" w:eastAsia="Calibri" w:hAnsi="David" w:cs="David"/>
          <w:b/>
          <w:bCs/>
          <w:sz w:val="24"/>
          <w:szCs w:val="24"/>
          <w:rtl/>
        </w:rPr>
      </w:pPr>
    </w:p>
    <w:p w:rsidR="00944FC1" w:rsidRPr="00944FC1" w:rsidRDefault="00944FC1" w:rsidP="00944FC1">
      <w:pPr>
        <w:spacing w:after="0" w:line="360" w:lineRule="auto"/>
        <w:ind w:right="-113"/>
        <w:mirrorIndents/>
        <w:jc w:val="both"/>
        <w:rPr>
          <w:rFonts w:ascii="David" w:eastAsia="Calibri" w:hAnsi="David" w:cs="David"/>
          <w:b/>
          <w:bCs/>
          <w:sz w:val="24"/>
          <w:szCs w:val="24"/>
          <w:u w:val="single"/>
          <w:rtl/>
        </w:rPr>
      </w:pPr>
      <w:r w:rsidRPr="00944FC1">
        <w:rPr>
          <w:rFonts w:ascii="David" w:eastAsia="Calibri" w:hAnsi="David" w:cs="David" w:hint="cs"/>
          <w:b/>
          <w:bCs/>
          <w:sz w:val="24"/>
          <w:szCs w:val="24"/>
          <w:u w:val="single"/>
          <w:rtl/>
        </w:rPr>
        <w:t>רקע</w:t>
      </w:r>
      <w:r w:rsidRPr="00944FC1">
        <w:rPr>
          <w:rFonts w:ascii="David" w:eastAsia="Calibri" w:hAnsi="David" w:cs="David"/>
          <w:b/>
          <w:bCs/>
          <w:sz w:val="24"/>
          <w:szCs w:val="24"/>
          <w:u w:val="single"/>
          <w:rtl/>
        </w:rPr>
        <w:t xml:space="preserve"> </w:t>
      </w:r>
    </w:p>
    <w:p w:rsidR="00944FC1" w:rsidRPr="00944FC1" w:rsidRDefault="00944FC1" w:rsidP="003463A9">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במהלך השנים קיימו האחים המנוחים מערכת יחסים כלכלית מורכבת לצד יחסי משפחה קרובים. </w:t>
      </w:r>
      <w:r>
        <w:rPr>
          <w:rFonts w:ascii="David" w:eastAsia="Calibri" w:hAnsi="David" w:cs="David"/>
          <w:sz w:val="24"/>
          <w:szCs w:val="24"/>
          <w:rtl/>
        </w:rPr>
        <w:t>ח.</w:t>
      </w:r>
      <w:r w:rsidRPr="00944FC1">
        <w:rPr>
          <w:rFonts w:ascii="David" w:eastAsia="Calibri" w:hAnsi="David" w:cs="David"/>
          <w:sz w:val="24"/>
          <w:szCs w:val="24"/>
          <w:rtl/>
        </w:rPr>
        <w:t xml:space="preserve"> גדול מ</w:t>
      </w:r>
      <w:r>
        <w:rPr>
          <w:rFonts w:ascii="David" w:eastAsia="Calibri" w:hAnsi="David" w:cs="David"/>
          <w:sz w:val="24"/>
          <w:szCs w:val="24"/>
          <w:rtl/>
        </w:rPr>
        <w:t>מ.</w:t>
      </w:r>
      <w:r w:rsidRPr="00944FC1">
        <w:rPr>
          <w:rFonts w:ascii="David" w:eastAsia="Calibri" w:hAnsi="David" w:cs="David"/>
          <w:sz w:val="24"/>
          <w:szCs w:val="24"/>
          <w:rtl/>
        </w:rPr>
        <w:t xml:space="preserve"> בשש שנים. </w:t>
      </w:r>
      <w:r>
        <w:rPr>
          <w:rFonts w:ascii="David" w:eastAsia="Calibri" w:hAnsi="David" w:cs="David"/>
          <w:sz w:val="24"/>
          <w:szCs w:val="24"/>
          <w:rtl/>
        </w:rPr>
        <w:t>ח.</w:t>
      </w:r>
      <w:r w:rsidRPr="00944FC1">
        <w:rPr>
          <w:rFonts w:ascii="David" w:eastAsia="Calibri" w:hAnsi="David" w:cs="David"/>
          <w:sz w:val="24"/>
          <w:szCs w:val="24"/>
          <w:rtl/>
        </w:rPr>
        <w:t xml:space="preserve"> נישא בשנות השישים ל</w:t>
      </w:r>
      <w:r>
        <w:rPr>
          <w:rFonts w:ascii="David" w:eastAsia="Calibri" w:hAnsi="David" w:cs="David"/>
          <w:sz w:val="24"/>
          <w:szCs w:val="24"/>
          <w:rtl/>
        </w:rPr>
        <w:t xml:space="preserve">א., ונולדו להם שתי בנות </w:t>
      </w:r>
      <w:r w:rsidRPr="00944FC1">
        <w:rPr>
          <w:rFonts w:ascii="David" w:eastAsia="Calibri" w:hAnsi="David" w:cs="David"/>
          <w:sz w:val="24"/>
          <w:szCs w:val="24"/>
          <w:rtl/>
        </w:rPr>
        <w:t xml:space="preserve">. </w:t>
      </w:r>
      <w:r>
        <w:rPr>
          <w:rFonts w:ascii="David" w:eastAsia="Calibri" w:hAnsi="David" w:cs="David"/>
          <w:sz w:val="24"/>
          <w:szCs w:val="24"/>
          <w:rtl/>
        </w:rPr>
        <w:t>מ.</w:t>
      </w:r>
      <w:r w:rsidRPr="00944FC1">
        <w:rPr>
          <w:rFonts w:ascii="David" w:eastAsia="Calibri" w:hAnsi="David" w:cs="David"/>
          <w:sz w:val="24"/>
          <w:szCs w:val="24"/>
          <w:rtl/>
        </w:rPr>
        <w:t xml:space="preserve"> נישא לע</w:t>
      </w:r>
      <w:r>
        <w:rPr>
          <w:rFonts w:ascii="David" w:eastAsia="Calibri" w:hAnsi="David" w:cs="David" w:hint="cs"/>
          <w:sz w:val="24"/>
          <w:szCs w:val="24"/>
          <w:rtl/>
        </w:rPr>
        <w:t>.</w:t>
      </w:r>
      <w:r w:rsidRPr="00944FC1">
        <w:rPr>
          <w:rFonts w:ascii="David" w:eastAsia="Calibri" w:hAnsi="David" w:cs="David"/>
          <w:sz w:val="24"/>
          <w:szCs w:val="24"/>
          <w:rtl/>
        </w:rPr>
        <w:t xml:space="preserve"> בשנת 1968 ונולדו להם שלושה ילדים.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מ.</w:t>
      </w:r>
      <w:r w:rsidRPr="00944FC1">
        <w:rPr>
          <w:rFonts w:ascii="David" w:eastAsia="Calibri" w:hAnsi="David" w:cs="David"/>
          <w:sz w:val="24"/>
          <w:szCs w:val="24"/>
          <w:rtl/>
        </w:rPr>
        <w:t xml:space="preserve">  עבדו יחד בעסק לחומרי בניין, והקימו שותפות בשם ח.מ</w:t>
      </w:r>
      <w:r w:rsidR="003463A9">
        <w:rPr>
          <w:rFonts w:ascii="David" w:eastAsia="Calibri" w:hAnsi="David" w:cs="David" w:hint="cs"/>
          <w:sz w:val="24"/>
          <w:szCs w:val="24"/>
          <w:rtl/>
        </w:rPr>
        <w:t>.</w:t>
      </w:r>
      <w:r w:rsidRPr="00944FC1">
        <w:rPr>
          <w:rFonts w:ascii="David" w:eastAsia="Calibri" w:hAnsi="David" w:cs="David"/>
          <w:sz w:val="24"/>
          <w:szCs w:val="24"/>
          <w:rtl/>
        </w:rPr>
        <w:t xml:space="preserve"> מ</w:t>
      </w:r>
      <w:r w:rsidR="003463A9">
        <w:rPr>
          <w:rFonts w:ascii="David" w:eastAsia="Calibri" w:hAnsi="David" w:cs="David" w:hint="cs"/>
          <w:sz w:val="24"/>
          <w:szCs w:val="24"/>
          <w:rtl/>
        </w:rPr>
        <w:t>.</w:t>
      </w:r>
      <w:r w:rsidRPr="00944FC1">
        <w:rPr>
          <w:rFonts w:ascii="David" w:eastAsia="Calibri" w:hAnsi="David" w:cs="David"/>
          <w:sz w:val="24"/>
          <w:szCs w:val="24"/>
          <w:rtl/>
        </w:rPr>
        <w:t xml:space="preserve"> לניהול העסק. הם בנו יחדיו בית דו משפחתי והמשפחות חיו זו לצד זו במשך שנים רבות. </w:t>
      </w:r>
    </w:p>
    <w:p w:rsidR="00944FC1" w:rsidRPr="00944FC1" w:rsidRDefault="00944FC1" w:rsidP="00944FC1">
      <w:pPr>
        <w:spacing w:after="0" w:line="360" w:lineRule="auto"/>
        <w:ind w:left="215"/>
        <w:contextualSpacing/>
        <w:mirrorIndents/>
        <w:jc w:val="both"/>
        <w:rPr>
          <w:rFonts w:ascii="David" w:eastAsia="Calibri" w:hAnsi="David" w:cs="David"/>
          <w:sz w:val="24"/>
          <w:szCs w:val="24"/>
          <w:rtl/>
        </w:rPr>
      </w:pPr>
    </w:p>
    <w:p w:rsidR="00944FC1" w:rsidRPr="00944FC1" w:rsidRDefault="00944FC1" w:rsidP="00402910">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lastRenderedPageBreak/>
        <w:t xml:space="preserve">אביהם של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מ.</w:t>
      </w:r>
      <w:r w:rsidRPr="00944FC1">
        <w:rPr>
          <w:rFonts w:ascii="David" w:eastAsia="Calibri" w:hAnsi="David" w:cs="David"/>
          <w:sz w:val="24"/>
          <w:szCs w:val="24"/>
          <w:rtl/>
        </w:rPr>
        <w:t xml:space="preserve"> -</w:t>
      </w:r>
      <w:r>
        <w:rPr>
          <w:rFonts w:ascii="David" w:eastAsia="Calibri" w:hAnsi="David" w:cs="David"/>
          <w:sz w:val="24"/>
          <w:szCs w:val="24"/>
          <w:rtl/>
        </w:rPr>
        <w:t>ש.</w:t>
      </w:r>
      <w:r w:rsidRPr="00944FC1">
        <w:rPr>
          <w:rFonts w:ascii="David" w:eastAsia="Calibri" w:hAnsi="David" w:cs="David"/>
          <w:sz w:val="24"/>
          <w:szCs w:val="24"/>
          <w:rtl/>
        </w:rPr>
        <w:t xml:space="preserve"> (</w:t>
      </w:r>
      <w:r w:rsidRPr="008C5037">
        <w:rPr>
          <w:rFonts w:ascii="David" w:eastAsia="Calibri" w:hAnsi="David" w:cs="David"/>
          <w:sz w:val="24"/>
          <w:szCs w:val="24"/>
          <w:rtl/>
        </w:rPr>
        <w:t>סבא נ</w:t>
      </w:r>
      <w:r w:rsidR="00402910">
        <w:rPr>
          <w:rFonts w:ascii="David" w:eastAsia="Calibri" w:hAnsi="David" w:cs="David" w:hint="cs"/>
          <w:sz w:val="24"/>
          <w:szCs w:val="24"/>
          <w:rtl/>
        </w:rPr>
        <w:t>'</w:t>
      </w:r>
      <w:r w:rsidRPr="008C5037">
        <w:rPr>
          <w:rFonts w:ascii="David" w:eastAsia="Calibri" w:hAnsi="David" w:cs="David"/>
          <w:sz w:val="24"/>
          <w:szCs w:val="24"/>
          <w:rtl/>
        </w:rPr>
        <w:t>) היה איש מוכשר וחרוץ. הוא עלה ארצה מסלוניקי בחוסר כל, ובכישרון רב ועבודה קשה עשה חייל בעסקיו. שתי טרגדיות השפיעו על מערכת היחסים שבין ח. למ.. האחת</w:t>
      </w:r>
      <w:r w:rsidR="00402910">
        <w:rPr>
          <w:rFonts w:ascii="David" w:eastAsia="Calibri" w:hAnsi="David" w:cs="David" w:hint="cs"/>
          <w:sz w:val="24"/>
          <w:szCs w:val="24"/>
          <w:rtl/>
        </w:rPr>
        <w:t>,</w:t>
      </w:r>
      <w:r w:rsidRPr="008C5037">
        <w:rPr>
          <w:rFonts w:ascii="David" w:eastAsia="Calibri" w:hAnsi="David" w:cs="David"/>
          <w:sz w:val="24"/>
          <w:szCs w:val="24"/>
          <w:rtl/>
        </w:rPr>
        <w:t xml:space="preserve"> פטירתו של האח רפאל שנטל את חייו בכפו על רקע פוסט טראומה שחווה בעת שירותו הצבאי. השנייה סכסוך מר שנפל בין סבא </w:t>
      </w:r>
      <w:r w:rsidR="00402910">
        <w:rPr>
          <w:rFonts w:ascii="David" w:eastAsia="Calibri" w:hAnsi="David" w:cs="David"/>
          <w:sz w:val="24"/>
          <w:szCs w:val="24"/>
          <w:rtl/>
        </w:rPr>
        <w:t>נ'</w:t>
      </w:r>
      <w:r w:rsidRPr="008C5037">
        <w:rPr>
          <w:rFonts w:ascii="David" w:eastAsia="Calibri" w:hAnsi="David" w:cs="David"/>
          <w:sz w:val="24"/>
          <w:szCs w:val="24"/>
          <w:rtl/>
        </w:rPr>
        <w:t xml:space="preserve"> לבין אחיו. בשל כך ח. ראה עצמו כמי שמחויב לדאוג למ. ולרווחתו. אף התובעים אינם חולקים על כך ומציינים שזו הייתה צוואתו של סבא </w:t>
      </w:r>
      <w:r w:rsidR="00402910">
        <w:rPr>
          <w:rFonts w:ascii="David" w:eastAsia="Calibri" w:hAnsi="David" w:cs="David"/>
          <w:sz w:val="24"/>
          <w:szCs w:val="24"/>
          <w:rtl/>
        </w:rPr>
        <w:t>נ'</w:t>
      </w:r>
      <w:r w:rsidRPr="008C5037">
        <w:rPr>
          <w:rFonts w:ascii="David" w:eastAsia="Calibri" w:hAnsi="David" w:cs="David"/>
          <w:sz w:val="24"/>
          <w:szCs w:val="24"/>
          <w:rtl/>
        </w:rPr>
        <w:t xml:space="preserve">. סבא </w:t>
      </w:r>
      <w:r w:rsidR="00402910">
        <w:rPr>
          <w:rFonts w:ascii="David" w:eastAsia="Calibri" w:hAnsi="David" w:cs="David"/>
          <w:sz w:val="24"/>
          <w:szCs w:val="24"/>
          <w:rtl/>
        </w:rPr>
        <w:t>נ'</w:t>
      </w:r>
      <w:r w:rsidRPr="008C5037">
        <w:rPr>
          <w:rFonts w:ascii="David" w:eastAsia="Calibri" w:hAnsi="David" w:cs="David"/>
          <w:sz w:val="24"/>
          <w:szCs w:val="24"/>
          <w:rtl/>
        </w:rPr>
        <w:t xml:space="preserve"> נפטר</w:t>
      </w:r>
      <w:r w:rsidRPr="00944FC1">
        <w:rPr>
          <w:rFonts w:ascii="David" w:eastAsia="Calibri" w:hAnsi="David" w:cs="David"/>
          <w:sz w:val="24"/>
          <w:szCs w:val="24"/>
          <w:rtl/>
        </w:rPr>
        <w:t xml:space="preserve"> בשנת 1981, אלא ש"מעשה אבות סימן לבנים", ודפוס המחלוקת שב והרים ראש גם בדורות הבאים.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D630E5">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בראשית שנות השבעים, ניהלו האחים ביחד עסק למכירת חומרי</w:t>
      </w:r>
      <w:r w:rsidR="003463A9">
        <w:rPr>
          <w:rFonts w:ascii="David" w:eastAsia="Calibri" w:hAnsi="David" w:cs="David"/>
          <w:sz w:val="24"/>
          <w:szCs w:val="24"/>
          <w:rtl/>
        </w:rPr>
        <w:t xml:space="preserve"> בנייה. העסק פעל תחת השם "ח.מ.</w:t>
      </w:r>
      <w:r w:rsidR="003463A9">
        <w:rPr>
          <w:rFonts w:ascii="David" w:eastAsia="Calibri" w:hAnsi="David" w:cs="David" w:hint="cs"/>
          <w:sz w:val="24"/>
          <w:szCs w:val="24"/>
          <w:rtl/>
        </w:rPr>
        <w:t>מ</w:t>
      </w:r>
      <w:r w:rsidRPr="00944FC1">
        <w:rPr>
          <w:rFonts w:ascii="David" w:eastAsia="Calibri" w:hAnsi="David" w:cs="David"/>
          <w:sz w:val="24"/>
          <w:szCs w:val="24"/>
          <w:rtl/>
        </w:rPr>
        <w:t xml:space="preserve">" ופעל בתוך חדר בדירה בדרך העצמאות </w:t>
      </w:r>
      <w:r w:rsidR="00D630E5">
        <w:rPr>
          <w:rFonts w:ascii="David" w:eastAsia="Calibri" w:hAnsi="David" w:cs="David" w:hint="cs"/>
          <w:sz w:val="24"/>
          <w:szCs w:val="24"/>
        </w:rPr>
        <w:t>XX</w:t>
      </w:r>
      <w:r w:rsidRPr="00944FC1">
        <w:rPr>
          <w:rFonts w:ascii="David" w:eastAsia="Calibri" w:hAnsi="David" w:cs="David"/>
          <w:sz w:val="24"/>
          <w:szCs w:val="24"/>
          <w:rtl/>
        </w:rPr>
        <w:t xml:space="preserve"> ביהוד. המדובר בנכס מקרקעין בשטח של 1,282 מ"ר. הזכויות במקרקעין רשומות על שם רשות הפיתוח. ביום 17.5.1966 התקשר </w:t>
      </w:r>
      <w:r>
        <w:rPr>
          <w:rFonts w:ascii="David" w:eastAsia="Calibri" w:hAnsi="David" w:cs="David"/>
          <w:sz w:val="24"/>
          <w:szCs w:val="24"/>
          <w:rtl/>
        </w:rPr>
        <w:t>ח.</w:t>
      </w:r>
      <w:r w:rsidRPr="00944FC1">
        <w:rPr>
          <w:rFonts w:ascii="David" w:eastAsia="Calibri" w:hAnsi="David" w:cs="David"/>
          <w:sz w:val="24"/>
          <w:szCs w:val="24"/>
          <w:rtl/>
        </w:rPr>
        <w:t xml:space="preserve"> בהסכם עם ה"ה גייסט ורכש מהם את הזכויות בנכס. זכויותיו של </w:t>
      </w:r>
      <w:r>
        <w:rPr>
          <w:rFonts w:ascii="David" w:eastAsia="Calibri" w:hAnsi="David" w:cs="David"/>
          <w:sz w:val="24"/>
          <w:szCs w:val="24"/>
          <w:rtl/>
        </w:rPr>
        <w:t>ח.</w:t>
      </w:r>
      <w:r w:rsidRPr="00944FC1">
        <w:rPr>
          <w:rFonts w:ascii="David" w:eastAsia="Calibri" w:hAnsi="David" w:cs="David"/>
          <w:sz w:val="24"/>
          <w:szCs w:val="24"/>
          <w:rtl/>
        </w:rPr>
        <w:t xml:space="preserve"> בנכס נרשמו במינהל מקרקעי ישראל (להלן: </w:t>
      </w:r>
      <w:r w:rsidRPr="00944FC1">
        <w:rPr>
          <w:rFonts w:ascii="David" w:eastAsia="Calibri" w:hAnsi="David" w:cs="David"/>
          <w:b/>
          <w:bCs/>
          <w:sz w:val="24"/>
          <w:szCs w:val="24"/>
          <w:rtl/>
        </w:rPr>
        <w:t>רמ"י</w:t>
      </w:r>
      <w:r w:rsidRPr="00944FC1">
        <w:rPr>
          <w:rFonts w:ascii="David" w:eastAsia="Calibri" w:hAnsi="David" w:cs="David"/>
          <w:sz w:val="24"/>
          <w:szCs w:val="24"/>
          <w:rtl/>
        </w:rPr>
        <w:t>). בשנות ה-90 נבנה במקום בניין משרדים בן 3 קומות והעסק המשיך להתנהל מתוך מחסן סמוך ברח' העצמאות, שבו היו ל</w:t>
      </w:r>
      <w:r>
        <w:rPr>
          <w:rFonts w:ascii="David" w:eastAsia="Calibri" w:hAnsi="David" w:cs="David"/>
          <w:sz w:val="24"/>
          <w:szCs w:val="24"/>
          <w:rtl/>
        </w:rPr>
        <w:t>ח.</w:t>
      </w:r>
      <w:r w:rsidRPr="00944FC1">
        <w:rPr>
          <w:rFonts w:ascii="David" w:eastAsia="Calibri" w:hAnsi="David" w:cs="David"/>
          <w:sz w:val="24"/>
          <w:szCs w:val="24"/>
          <w:rtl/>
        </w:rPr>
        <w:t xml:space="preserve"> זכויות של דיירות מוגנת. הכנסות העסק חולקו בין </w:t>
      </w:r>
      <w:r>
        <w:rPr>
          <w:rFonts w:ascii="David" w:eastAsia="Calibri" w:hAnsi="David" w:cs="David"/>
          <w:sz w:val="24"/>
          <w:szCs w:val="24"/>
          <w:rtl/>
        </w:rPr>
        <w:t>ח.</w:t>
      </w:r>
      <w:r w:rsidRPr="00944FC1">
        <w:rPr>
          <w:rFonts w:ascii="David" w:eastAsia="Calibri" w:hAnsi="David" w:cs="David"/>
          <w:sz w:val="24"/>
          <w:szCs w:val="24"/>
          <w:rtl/>
        </w:rPr>
        <w:t xml:space="preserve"> ל</w:t>
      </w:r>
      <w:r>
        <w:rPr>
          <w:rFonts w:ascii="David" w:eastAsia="Calibri" w:hAnsi="David" w:cs="David"/>
          <w:sz w:val="24"/>
          <w:szCs w:val="24"/>
          <w:rtl/>
        </w:rPr>
        <w:t>מ.</w:t>
      </w:r>
      <w:r w:rsidRPr="00944FC1">
        <w:rPr>
          <w:rFonts w:ascii="David" w:eastAsia="Calibri" w:hAnsi="David" w:cs="David"/>
          <w:sz w:val="24"/>
          <w:szCs w:val="24"/>
          <w:rtl/>
        </w:rPr>
        <w:t xml:space="preserve">. שיעור החלוקה </w:t>
      </w:r>
      <w:r w:rsidRPr="00944FC1">
        <w:rPr>
          <w:rFonts w:ascii="David" w:eastAsia="Calibri" w:hAnsi="David" w:cs="David" w:hint="cs"/>
          <w:sz w:val="24"/>
          <w:szCs w:val="24"/>
          <w:rtl/>
        </w:rPr>
        <w:t xml:space="preserve">שנוי </w:t>
      </w:r>
      <w:r w:rsidRPr="00944FC1">
        <w:rPr>
          <w:rFonts w:ascii="David" w:eastAsia="Calibri" w:hAnsi="David" w:cs="David"/>
          <w:sz w:val="24"/>
          <w:szCs w:val="24"/>
          <w:rtl/>
        </w:rPr>
        <w:t xml:space="preserve">במחלוקת בין הצדדים.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במהלך השנים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א.</w:t>
      </w:r>
      <w:r w:rsidRPr="00944FC1">
        <w:rPr>
          <w:rFonts w:ascii="David" w:eastAsia="Calibri" w:hAnsi="David" w:cs="David"/>
          <w:sz w:val="24"/>
          <w:szCs w:val="24"/>
          <w:rtl/>
        </w:rPr>
        <w:t xml:space="preserve"> רכשו מספר נכסי מקרקעין נוספים וביניהם את החנות. בשנות התשעים הקימו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א.</w:t>
      </w:r>
      <w:r w:rsidRPr="00944FC1">
        <w:rPr>
          <w:rFonts w:ascii="David" w:eastAsia="Calibri" w:hAnsi="David" w:cs="David"/>
          <w:sz w:val="24"/>
          <w:szCs w:val="24"/>
          <w:rtl/>
        </w:rPr>
        <w:t xml:space="preserve"> את החברה ונרשמו כבעלי מניותיה. החברה הוקמה לצורך בניית מבנה המשרדים במקרקעין בדרך העצמאות. החברה ניהלה את הבניין ותקבולי השכירות הופקדו לחשבונה.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בתחילת שנות ה-2000, ובמסגרת סכסוך גירושין, הגישה רעייתו של </w:t>
      </w:r>
      <w:r>
        <w:rPr>
          <w:rFonts w:ascii="David" w:eastAsia="Calibri" w:hAnsi="David" w:cs="David"/>
          <w:sz w:val="24"/>
          <w:szCs w:val="24"/>
          <w:rtl/>
        </w:rPr>
        <w:t>מ.</w:t>
      </w:r>
      <w:r w:rsidRPr="00944FC1">
        <w:rPr>
          <w:rFonts w:ascii="David" w:eastAsia="Calibri" w:hAnsi="David" w:cs="David"/>
          <w:sz w:val="24"/>
          <w:szCs w:val="24"/>
          <w:rtl/>
        </w:rPr>
        <w:t xml:space="preserve">, </w:t>
      </w:r>
      <w:r>
        <w:rPr>
          <w:rFonts w:ascii="David" w:eastAsia="Calibri" w:hAnsi="David" w:cs="David"/>
          <w:sz w:val="24"/>
          <w:szCs w:val="24"/>
          <w:rtl/>
        </w:rPr>
        <w:t>ע.</w:t>
      </w:r>
      <w:r w:rsidRPr="00944FC1">
        <w:rPr>
          <w:rFonts w:ascii="David" w:eastAsia="Calibri" w:hAnsi="David" w:cs="David"/>
          <w:sz w:val="24"/>
          <w:szCs w:val="24"/>
          <w:rtl/>
        </w:rPr>
        <w:t xml:space="preserve">, תביעה רכושית נגד </w:t>
      </w:r>
      <w:r>
        <w:rPr>
          <w:rFonts w:ascii="David" w:eastAsia="Calibri" w:hAnsi="David" w:cs="David"/>
          <w:sz w:val="24"/>
          <w:szCs w:val="24"/>
          <w:rtl/>
        </w:rPr>
        <w:t>מ.</w:t>
      </w:r>
      <w:r w:rsidRPr="00944FC1">
        <w:rPr>
          <w:rFonts w:ascii="David" w:eastAsia="Calibri" w:hAnsi="David" w:cs="David"/>
          <w:sz w:val="24"/>
          <w:szCs w:val="24"/>
          <w:rtl/>
        </w:rPr>
        <w:t xml:space="preserve"> ונגד </w:t>
      </w:r>
      <w:r>
        <w:rPr>
          <w:rFonts w:ascii="David" w:eastAsia="Calibri" w:hAnsi="David" w:cs="David"/>
          <w:sz w:val="24"/>
          <w:szCs w:val="24"/>
          <w:rtl/>
        </w:rPr>
        <w:t>ח.</w:t>
      </w:r>
      <w:r w:rsidRPr="00944FC1">
        <w:rPr>
          <w:rFonts w:ascii="David" w:eastAsia="Calibri" w:hAnsi="David" w:cs="David"/>
          <w:sz w:val="24"/>
          <w:szCs w:val="24"/>
          <w:rtl/>
        </w:rPr>
        <w:t xml:space="preserve"> (תמ"ש 31080/01 להלן-</w:t>
      </w:r>
      <w:r w:rsidRPr="00944FC1">
        <w:rPr>
          <w:rFonts w:ascii="David" w:eastAsia="Calibri" w:hAnsi="David" w:cs="David"/>
          <w:b/>
          <w:bCs/>
          <w:sz w:val="24"/>
          <w:szCs w:val="24"/>
          <w:rtl/>
        </w:rPr>
        <w:t>התביעה הרכושית</w:t>
      </w:r>
      <w:r w:rsidRPr="00944FC1">
        <w:rPr>
          <w:rFonts w:ascii="David" w:eastAsia="Calibri" w:hAnsi="David" w:cs="David"/>
          <w:sz w:val="24"/>
          <w:szCs w:val="24"/>
          <w:rtl/>
        </w:rPr>
        <w:t xml:space="preserve">). בין היתר טענה </w:t>
      </w:r>
      <w:r>
        <w:rPr>
          <w:rFonts w:ascii="David" w:eastAsia="Calibri" w:hAnsi="David" w:cs="David"/>
          <w:sz w:val="24"/>
          <w:szCs w:val="24"/>
          <w:rtl/>
        </w:rPr>
        <w:t>ע.</w:t>
      </w:r>
      <w:r w:rsidRPr="00944FC1">
        <w:rPr>
          <w:rFonts w:ascii="David" w:eastAsia="Calibri" w:hAnsi="David" w:cs="David"/>
          <w:sz w:val="24"/>
          <w:szCs w:val="24"/>
          <w:rtl/>
        </w:rPr>
        <w:t xml:space="preserve">  כי ל</w:t>
      </w:r>
      <w:r>
        <w:rPr>
          <w:rFonts w:ascii="David" w:eastAsia="Calibri" w:hAnsi="David" w:cs="David"/>
          <w:sz w:val="24"/>
          <w:szCs w:val="24"/>
          <w:rtl/>
        </w:rPr>
        <w:t>מ.</w:t>
      </w:r>
      <w:r w:rsidRPr="00944FC1">
        <w:rPr>
          <w:rFonts w:ascii="David" w:eastAsia="Calibri" w:hAnsi="David" w:cs="David"/>
          <w:sz w:val="24"/>
          <w:szCs w:val="24"/>
          <w:rtl/>
        </w:rPr>
        <w:t xml:space="preserve"> זכויות בנכסים הרשומים על שם </w:t>
      </w:r>
      <w:r>
        <w:rPr>
          <w:rFonts w:ascii="David" w:eastAsia="Calibri" w:hAnsi="David" w:cs="David"/>
          <w:sz w:val="24"/>
          <w:szCs w:val="24"/>
          <w:rtl/>
        </w:rPr>
        <w:t>ח.</w:t>
      </w:r>
      <w:r w:rsidRPr="00944FC1">
        <w:rPr>
          <w:rFonts w:ascii="David" w:eastAsia="Calibri" w:hAnsi="David" w:cs="David"/>
          <w:sz w:val="24"/>
          <w:szCs w:val="24"/>
          <w:rtl/>
        </w:rPr>
        <w:t xml:space="preserve">-הנכס בדרך העצמאות, זכויות בחברה ועוד. טענות אלו נדחו ע"י </w:t>
      </w:r>
      <w:r>
        <w:rPr>
          <w:rFonts w:ascii="David" w:eastAsia="Calibri" w:hAnsi="David" w:cs="David"/>
          <w:sz w:val="24"/>
          <w:szCs w:val="24"/>
          <w:rtl/>
        </w:rPr>
        <w:t>מ.</w:t>
      </w:r>
      <w:r w:rsidRPr="00944FC1">
        <w:rPr>
          <w:rFonts w:ascii="David" w:eastAsia="Calibri" w:hAnsi="David" w:cs="David"/>
          <w:sz w:val="24"/>
          <w:szCs w:val="24"/>
          <w:rtl/>
        </w:rPr>
        <w:t xml:space="preserve"> ו</w:t>
      </w:r>
      <w:r>
        <w:rPr>
          <w:rFonts w:ascii="David" w:eastAsia="Calibri" w:hAnsi="David" w:cs="David"/>
          <w:sz w:val="24"/>
          <w:szCs w:val="24"/>
          <w:rtl/>
        </w:rPr>
        <w:t>ח.</w:t>
      </w:r>
      <w:r w:rsidRPr="00944FC1">
        <w:rPr>
          <w:rFonts w:ascii="David" w:eastAsia="Calibri" w:hAnsi="David" w:cs="David"/>
          <w:sz w:val="24"/>
          <w:szCs w:val="24"/>
          <w:rtl/>
        </w:rPr>
        <w:t xml:space="preserve">. </w:t>
      </w:r>
      <w:r>
        <w:rPr>
          <w:rFonts w:ascii="David" w:eastAsia="Calibri" w:hAnsi="David" w:cs="David"/>
          <w:sz w:val="24"/>
          <w:szCs w:val="24"/>
          <w:rtl/>
        </w:rPr>
        <w:t>מ.</w:t>
      </w:r>
      <w:r w:rsidRPr="00944FC1">
        <w:rPr>
          <w:rFonts w:ascii="David" w:eastAsia="Calibri" w:hAnsi="David" w:cs="David"/>
          <w:sz w:val="24"/>
          <w:szCs w:val="24"/>
          <w:rtl/>
        </w:rPr>
        <w:t xml:space="preserve"> טען בכתב ההגנה שהגיש כי טענות </w:t>
      </w:r>
      <w:r>
        <w:rPr>
          <w:rFonts w:ascii="David" w:eastAsia="Calibri" w:hAnsi="David" w:cs="David"/>
          <w:sz w:val="24"/>
          <w:szCs w:val="24"/>
          <w:rtl/>
        </w:rPr>
        <w:t>ע.</w:t>
      </w:r>
      <w:r w:rsidRPr="00944FC1">
        <w:rPr>
          <w:rFonts w:ascii="David" w:eastAsia="Calibri" w:hAnsi="David" w:cs="David"/>
          <w:sz w:val="24"/>
          <w:szCs w:val="24"/>
          <w:rtl/>
        </w:rPr>
        <w:t xml:space="preserve">, כאילו  יש לו זכויות בנכסים הרשומים ע"ש </w:t>
      </w:r>
      <w:r>
        <w:rPr>
          <w:rFonts w:ascii="David" w:eastAsia="Calibri" w:hAnsi="David" w:cs="David"/>
          <w:sz w:val="24"/>
          <w:szCs w:val="24"/>
          <w:rtl/>
        </w:rPr>
        <w:t>ח.</w:t>
      </w:r>
      <w:r w:rsidRPr="00944FC1">
        <w:rPr>
          <w:rFonts w:ascii="David" w:eastAsia="Calibri" w:hAnsi="David" w:cs="David"/>
          <w:sz w:val="24"/>
          <w:szCs w:val="24"/>
          <w:rtl/>
        </w:rPr>
        <w:t xml:space="preserve"> - חסרת בסיס משפטי ועובדתי. </w:t>
      </w:r>
      <w:r>
        <w:rPr>
          <w:rFonts w:ascii="David" w:eastAsia="Calibri" w:hAnsi="David" w:cs="David"/>
          <w:sz w:val="24"/>
          <w:szCs w:val="24"/>
          <w:rtl/>
        </w:rPr>
        <w:t>מ.</w:t>
      </w:r>
      <w:r w:rsidRPr="00944FC1">
        <w:rPr>
          <w:rFonts w:ascii="David" w:eastAsia="Calibri" w:hAnsi="David" w:cs="David"/>
          <w:sz w:val="24"/>
          <w:szCs w:val="24"/>
          <w:rtl/>
        </w:rPr>
        <w:t xml:space="preserve"> הבהיר כי הנכס בדרך העצמאות נרכש על ידי </w:t>
      </w:r>
      <w:r>
        <w:rPr>
          <w:rFonts w:ascii="David" w:eastAsia="Calibri" w:hAnsi="David" w:cs="David"/>
          <w:sz w:val="24"/>
          <w:szCs w:val="24"/>
          <w:rtl/>
        </w:rPr>
        <w:t>ח.</w:t>
      </w:r>
      <w:r w:rsidRPr="00944FC1">
        <w:rPr>
          <w:rFonts w:ascii="David" w:eastAsia="Calibri" w:hAnsi="David" w:cs="David"/>
          <w:sz w:val="24"/>
          <w:szCs w:val="24"/>
          <w:rtl/>
        </w:rPr>
        <w:t xml:space="preserve"> וע"י אשתו ממקורותיהם הכספיים, שאין לו זכות ב</w:t>
      </w:r>
      <w:r w:rsidRPr="00944FC1">
        <w:rPr>
          <w:rFonts w:ascii="David" w:eastAsia="Calibri" w:hAnsi="David" w:cs="David" w:hint="cs"/>
          <w:sz w:val="24"/>
          <w:szCs w:val="24"/>
          <w:rtl/>
        </w:rPr>
        <w:t>נכס</w:t>
      </w:r>
      <w:r w:rsidRPr="00944FC1">
        <w:rPr>
          <w:rFonts w:ascii="David" w:eastAsia="Calibri" w:hAnsi="David" w:cs="David"/>
          <w:sz w:val="24"/>
          <w:szCs w:val="24"/>
          <w:rtl/>
        </w:rPr>
        <w:t xml:space="preserve"> </w:t>
      </w:r>
      <w:r w:rsidRPr="00944FC1">
        <w:rPr>
          <w:rFonts w:ascii="David" w:eastAsia="Calibri" w:hAnsi="David" w:cs="David" w:hint="cs"/>
          <w:sz w:val="24"/>
          <w:szCs w:val="24"/>
          <w:rtl/>
        </w:rPr>
        <w:t xml:space="preserve">זה </w:t>
      </w:r>
      <w:r w:rsidRPr="00944FC1">
        <w:rPr>
          <w:rFonts w:ascii="David" w:eastAsia="Calibri" w:hAnsi="David" w:cs="David"/>
          <w:sz w:val="24"/>
          <w:szCs w:val="24"/>
          <w:rtl/>
        </w:rPr>
        <w:t xml:space="preserve">וגם </w:t>
      </w:r>
      <w:r w:rsidRPr="00944FC1">
        <w:rPr>
          <w:rFonts w:ascii="David" w:eastAsia="Calibri" w:hAnsi="David" w:cs="David" w:hint="cs"/>
          <w:sz w:val="24"/>
          <w:szCs w:val="24"/>
          <w:rtl/>
        </w:rPr>
        <w:t>ש</w:t>
      </w:r>
      <w:r w:rsidRPr="00944FC1">
        <w:rPr>
          <w:rFonts w:ascii="David" w:eastAsia="Calibri" w:hAnsi="David" w:cs="David"/>
          <w:sz w:val="24"/>
          <w:szCs w:val="24"/>
          <w:rtl/>
        </w:rPr>
        <w:t>אין לו זכויות בחברה. אשר לנכס בלוחמי הגטאות –</w:t>
      </w:r>
      <w:r>
        <w:rPr>
          <w:rFonts w:ascii="David" w:eastAsia="Calibri" w:hAnsi="David" w:cs="David"/>
          <w:sz w:val="24"/>
          <w:szCs w:val="24"/>
          <w:rtl/>
        </w:rPr>
        <w:t>מ.</w:t>
      </w:r>
      <w:r w:rsidRPr="00944FC1">
        <w:rPr>
          <w:rFonts w:ascii="David" w:eastAsia="Calibri" w:hAnsi="David" w:cs="David"/>
          <w:sz w:val="24"/>
          <w:szCs w:val="24"/>
          <w:rtl/>
        </w:rPr>
        <w:t xml:space="preserve"> אישר כי הזכויות בו רשומות על שמו ועל שמו של </w:t>
      </w:r>
      <w:r>
        <w:rPr>
          <w:rFonts w:ascii="David" w:eastAsia="Calibri" w:hAnsi="David" w:cs="David"/>
          <w:sz w:val="24"/>
          <w:szCs w:val="24"/>
          <w:rtl/>
        </w:rPr>
        <w:t>ח.</w:t>
      </w:r>
      <w:r w:rsidRPr="00944FC1">
        <w:rPr>
          <w:rFonts w:ascii="David" w:eastAsia="Calibri" w:hAnsi="David" w:cs="David"/>
          <w:sz w:val="24"/>
          <w:szCs w:val="24"/>
          <w:rtl/>
        </w:rPr>
        <w:t xml:space="preserve"> בחלקים שווים אך לטענתו מדובר ברישום פורמאלי בעוד שיש לו זכויות במחצית בית הדו משפחתי שנבנה שם (הבנוי בלבד ללא רכיב הקרקע). בכתב ההגנה שהגיש </w:t>
      </w:r>
      <w:r>
        <w:rPr>
          <w:rFonts w:ascii="David" w:eastAsia="Calibri" w:hAnsi="David" w:cs="David"/>
          <w:sz w:val="24"/>
          <w:szCs w:val="24"/>
          <w:rtl/>
        </w:rPr>
        <w:t>ח.</w:t>
      </w:r>
      <w:r w:rsidRPr="00944FC1">
        <w:rPr>
          <w:rFonts w:ascii="David" w:eastAsia="Calibri" w:hAnsi="David" w:cs="David"/>
          <w:sz w:val="24"/>
          <w:szCs w:val="24"/>
          <w:rtl/>
        </w:rPr>
        <w:t xml:space="preserve"> הוא חזר על טענות </w:t>
      </w:r>
      <w:r>
        <w:rPr>
          <w:rFonts w:ascii="David" w:eastAsia="Calibri" w:hAnsi="David" w:cs="David"/>
          <w:sz w:val="24"/>
          <w:szCs w:val="24"/>
          <w:rtl/>
        </w:rPr>
        <w:t>מ.</w:t>
      </w:r>
      <w:r w:rsidRPr="00944FC1">
        <w:rPr>
          <w:rFonts w:ascii="David" w:eastAsia="Calibri" w:hAnsi="David" w:cs="David"/>
          <w:sz w:val="24"/>
          <w:szCs w:val="24"/>
          <w:rtl/>
        </w:rPr>
        <w:t xml:space="preserve">. ההליכים בין </w:t>
      </w:r>
      <w:r>
        <w:rPr>
          <w:rFonts w:ascii="David" w:eastAsia="Calibri" w:hAnsi="David" w:cs="David"/>
          <w:sz w:val="24"/>
          <w:szCs w:val="24"/>
          <w:rtl/>
        </w:rPr>
        <w:t>מ.</w:t>
      </w:r>
      <w:r w:rsidRPr="00944FC1">
        <w:rPr>
          <w:rFonts w:ascii="David" w:eastAsia="Calibri" w:hAnsi="David" w:cs="David"/>
          <w:sz w:val="24"/>
          <w:szCs w:val="24"/>
          <w:rtl/>
        </w:rPr>
        <w:t xml:space="preserve"> ל</w:t>
      </w:r>
      <w:r>
        <w:rPr>
          <w:rFonts w:ascii="David" w:eastAsia="Calibri" w:hAnsi="David" w:cs="David"/>
          <w:sz w:val="24"/>
          <w:szCs w:val="24"/>
          <w:rtl/>
        </w:rPr>
        <w:t>ע.</w:t>
      </w:r>
      <w:r w:rsidRPr="00944FC1">
        <w:rPr>
          <w:rFonts w:ascii="David" w:eastAsia="Calibri" w:hAnsi="David" w:cs="David"/>
          <w:sz w:val="24"/>
          <w:szCs w:val="24"/>
          <w:rtl/>
        </w:rPr>
        <w:t xml:space="preserve"> הסתיימו בהסכם גירושין, במסגרתו קיבלה </w:t>
      </w:r>
      <w:r>
        <w:rPr>
          <w:rFonts w:ascii="David" w:eastAsia="Calibri" w:hAnsi="David" w:cs="David"/>
          <w:sz w:val="24"/>
          <w:szCs w:val="24"/>
          <w:rtl/>
        </w:rPr>
        <w:t>ע.</w:t>
      </w:r>
      <w:r w:rsidRPr="00944FC1">
        <w:rPr>
          <w:rFonts w:ascii="David" w:eastAsia="Calibri" w:hAnsi="David" w:cs="David"/>
          <w:sz w:val="24"/>
          <w:szCs w:val="24"/>
          <w:rtl/>
        </w:rPr>
        <w:t xml:space="preserve"> סכום חד פעמי תוך ויתור על כל טענה נוספת כלפי </w:t>
      </w:r>
      <w:r>
        <w:rPr>
          <w:rFonts w:ascii="David" w:eastAsia="Calibri" w:hAnsi="David" w:cs="David"/>
          <w:sz w:val="24"/>
          <w:szCs w:val="24"/>
          <w:rtl/>
        </w:rPr>
        <w:t>ח.</w:t>
      </w:r>
      <w:r w:rsidRPr="00944FC1">
        <w:rPr>
          <w:rFonts w:ascii="David" w:eastAsia="Calibri" w:hAnsi="David" w:cs="David" w:hint="cs"/>
          <w:sz w:val="24"/>
          <w:szCs w:val="24"/>
          <w:rtl/>
        </w:rPr>
        <w:t xml:space="preserve"> ו</w:t>
      </w:r>
      <w:r>
        <w:rPr>
          <w:rFonts w:ascii="David" w:eastAsia="Calibri" w:hAnsi="David" w:cs="David" w:hint="cs"/>
          <w:sz w:val="24"/>
          <w:szCs w:val="24"/>
          <w:rtl/>
        </w:rPr>
        <w:t>מ.</w:t>
      </w:r>
      <w:r w:rsidRPr="00944FC1">
        <w:rPr>
          <w:rFonts w:ascii="David" w:eastAsia="Calibri" w:hAnsi="David" w:cs="David"/>
          <w:sz w:val="24"/>
          <w:szCs w:val="24"/>
          <w:rtl/>
        </w:rPr>
        <w:t>.</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בחודש יולי 2011, יזמו </w:t>
      </w:r>
      <w:r>
        <w:rPr>
          <w:rFonts w:ascii="David" w:eastAsia="Calibri" w:hAnsi="David" w:cs="David"/>
          <w:sz w:val="24"/>
          <w:szCs w:val="24"/>
          <w:rtl/>
        </w:rPr>
        <w:t>מ.</w:t>
      </w:r>
      <w:r w:rsidRPr="00944FC1">
        <w:rPr>
          <w:rFonts w:ascii="David" w:eastAsia="Calibri" w:hAnsi="David" w:cs="David"/>
          <w:sz w:val="24"/>
          <w:szCs w:val="24"/>
          <w:rtl/>
        </w:rPr>
        <w:t xml:space="preserve"> והתובעים מפגש משפחתי בו נכחו גם </w:t>
      </w:r>
      <w:r>
        <w:rPr>
          <w:rFonts w:ascii="David" w:eastAsia="Calibri" w:hAnsi="David" w:cs="David"/>
          <w:sz w:val="24"/>
          <w:szCs w:val="24"/>
          <w:rtl/>
        </w:rPr>
        <w:t>ח.</w:t>
      </w:r>
      <w:r w:rsidRPr="00944FC1">
        <w:rPr>
          <w:rFonts w:ascii="David" w:eastAsia="Calibri" w:hAnsi="David" w:cs="David"/>
          <w:sz w:val="24"/>
          <w:szCs w:val="24"/>
          <w:rtl/>
        </w:rPr>
        <w:t xml:space="preserve">, </w:t>
      </w:r>
      <w:r>
        <w:rPr>
          <w:rFonts w:ascii="David" w:eastAsia="Calibri" w:hAnsi="David" w:cs="David"/>
          <w:sz w:val="24"/>
          <w:szCs w:val="24"/>
          <w:rtl/>
        </w:rPr>
        <w:t>א.</w:t>
      </w:r>
      <w:r w:rsidRPr="00944FC1">
        <w:rPr>
          <w:rFonts w:ascii="David" w:eastAsia="Calibri" w:hAnsi="David" w:cs="David"/>
          <w:sz w:val="24"/>
          <w:szCs w:val="24"/>
          <w:rtl/>
        </w:rPr>
        <w:t xml:space="preserve"> ובתם ו. בסמוך למפגש זה התקיימה פגישה נוספת בין האחים, שבה השתתפו גם </w:t>
      </w:r>
      <w:r>
        <w:rPr>
          <w:rFonts w:ascii="David" w:eastAsia="Calibri" w:hAnsi="David" w:cs="David"/>
          <w:sz w:val="24"/>
          <w:szCs w:val="24"/>
          <w:rtl/>
        </w:rPr>
        <w:t>א.</w:t>
      </w:r>
      <w:r w:rsidRPr="00944FC1">
        <w:rPr>
          <w:rFonts w:ascii="David" w:eastAsia="Calibri" w:hAnsi="David" w:cs="David"/>
          <w:sz w:val="24"/>
          <w:szCs w:val="24"/>
          <w:rtl/>
        </w:rPr>
        <w:t xml:space="preserve"> וחלק מהילדים. בדיעבד התברר כי </w:t>
      </w:r>
      <w:r w:rsidRPr="00944FC1">
        <w:rPr>
          <w:rFonts w:ascii="David" w:eastAsia="Calibri" w:hAnsi="David" w:cs="David"/>
          <w:sz w:val="24"/>
          <w:szCs w:val="24"/>
          <w:rtl/>
        </w:rPr>
        <w:lastRenderedPageBreak/>
        <w:t>התובעים הגיעו למפגשים כשהם מצוידים במכשיר הקלטה נסתר, והקליטו את השיחות מבלי ליידע את</w:t>
      </w:r>
      <w:r w:rsidRPr="00944FC1">
        <w:rPr>
          <w:rFonts w:ascii="David" w:eastAsia="Calibri" w:hAnsi="David" w:cs="David" w:hint="cs"/>
          <w:sz w:val="24"/>
          <w:szCs w:val="24"/>
          <w:rtl/>
        </w:rPr>
        <w:t xml:space="preserve"> </w:t>
      </w:r>
      <w:r>
        <w:rPr>
          <w:rFonts w:ascii="David" w:eastAsia="Calibri" w:hAnsi="David" w:cs="David" w:hint="cs"/>
          <w:sz w:val="24"/>
          <w:szCs w:val="24"/>
          <w:rtl/>
        </w:rPr>
        <w:t>ח.</w:t>
      </w:r>
      <w:r w:rsidRPr="00944FC1">
        <w:rPr>
          <w:rFonts w:ascii="David" w:eastAsia="Calibri" w:hAnsi="David" w:cs="David" w:hint="cs"/>
          <w:sz w:val="24"/>
          <w:szCs w:val="24"/>
          <w:rtl/>
        </w:rPr>
        <w:t xml:space="preserve"> ומשפחתו</w:t>
      </w:r>
      <w:r w:rsidRPr="00944FC1">
        <w:rPr>
          <w:rFonts w:ascii="David" w:eastAsia="Calibri" w:hAnsi="David" w:cs="David"/>
          <w:sz w:val="24"/>
          <w:szCs w:val="24"/>
          <w:rtl/>
        </w:rPr>
        <w:t xml:space="preserve">. התובעים מבקשים להסתמך על תמליל ההקלטות כראיה מרכזית, ממנה לשיטתם עולה הודאה של </w:t>
      </w:r>
      <w:r>
        <w:rPr>
          <w:rFonts w:ascii="David" w:eastAsia="Calibri" w:hAnsi="David" w:cs="David"/>
          <w:sz w:val="24"/>
          <w:szCs w:val="24"/>
          <w:rtl/>
        </w:rPr>
        <w:t>ח.</w:t>
      </w:r>
      <w:r w:rsidRPr="00944FC1">
        <w:rPr>
          <w:rFonts w:ascii="David" w:eastAsia="Calibri" w:hAnsi="David" w:cs="David"/>
          <w:sz w:val="24"/>
          <w:szCs w:val="24"/>
          <w:rtl/>
        </w:rPr>
        <w:t xml:space="preserve"> בזכויותיו של </w:t>
      </w:r>
      <w:r>
        <w:rPr>
          <w:rFonts w:ascii="David" w:eastAsia="Calibri" w:hAnsi="David" w:cs="David"/>
          <w:sz w:val="24"/>
          <w:szCs w:val="24"/>
          <w:rtl/>
        </w:rPr>
        <w:t>מ.</w:t>
      </w:r>
      <w:r w:rsidRPr="00944FC1">
        <w:rPr>
          <w:rFonts w:ascii="David" w:eastAsia="Calibri" w:hAnsi="David" w:cs="David"/>
          <w:sz w:val="24"/>
          <w:szCs w:val="24"/>
          <w:rtl/>
        </w:rPr>
        <w:t xml:space="preserve"> בנכסים נושא התביעה.</w:t>
      </w: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בהמשך לשיחות אלו היחסים בין האחים התדרדרו ויחסי המשפחה החמים הצטננו. </w:t>
      </w:r>
      <w:r>
        <w:rPr>
          <w:rFonts w:ascii="David" w:eastAsia="Calibri" w:hAnsi="David" w:cs="David"/>
          <w:sz w:val="24"/>
          <w:szCs w:val="24"/>
          <w:rtl/>
        </w:rPr>
        <w:t>מ.</w:t>
      </w:r>
      <w:r w:rsidRPr="00944FC1">
        <w:rPr>
          <w:rFonts w:ascii="David" w:eastAsia="Calibri" w:hAnsi="David" w:cs="David"/>
          <w:sz w:val="24"/>
          <w:szCs w:val="24"/>
          <w:rtl/>
        </w:rPr>
        <w:t xml:space="preserve"> לא טען לבעלות בנכסים, לא דרש להשתמש בהם, ו</w:t>
      </w:r>
      <w:r w:rsidRPr="00944FC1">
        <w:rPr>
          <w:rFonts w:ascii="David" w:eastAsia="Calibri" w:hAnsi="David" w:cs="David" w:hint="cs"/>
          <w:sz w:val="24"/>
          <w:szCs w:val="24"/>
          <w:rtl/>
        </w:rPr>
        <w:t xml:space="preserve">אף </w:t>
      </w:r>
      <w:r w:rsidRPr="00944FC1">
        <w:rPr>
          <w:rFonts w:ascii="David" w:eastAsia="Calibri" w:hAnsi="David" w:cs="David"/>
          <w:sz w:val="24"/>
          <w:szCs w:val="24"/>
          <w:rtl/>
        </w:rPr>
        <w:t>לא דרש מ</w:t>
      </w:r>
      <w:r>
        <w:rPr>
          <w:rFonts w:ascii="David" w:eastAsia="Calibri" w:hAnsi="David" w:cs="David"/>
          <w:sz w:val="24"/>
          <w:szCs w:val="24"/>
          <w:rtl/>
        </w:rPr>
        <w:t>ח.</w:t>
      </w:r>
      <w:r w:rsidRPr="00944FC1">
        <w:rPr>
          <w:rFonts w:ascii="David" w:eastAsia="Calibri" w:hAnsi="David" w:cs="David"/>
          <w:sz w:val="24"/>
          <w:szCs w:val="24"/>
          <w:rtl/>
        </w:rPr>
        <w:t xml:space="preserve"> את חלקו הנטען בהכנסות מנכסים אלו. </w:t>
      </w:r>
      <w:r>
        <w:rPr>
          <w:rFonts w:ascii="David" w:eastAsia="Calibri" w:hAnsi="David" w:cs="David"/>
          <w:sz w:val="24"/>
          <w:szCs w:val="24"/>
          <w:rtl/>
        </w:rPr>
        <w:t>מ.</w:t>
      </w:r>
      <w:r w:rsidRPr="00944FC1">
        <w:rPr>
          <w:rFonts w:ascii="David" w:eastAsia="Calibri" w:hAnsi="David" w:cs="David"/>
          <w:sz w:val="24"/>
          <w:szCs w:val="24"/>
          <w:rtl/>
        </w:rPr>
        <w:t xml:space="preserve"> גם לא נקט בהליך משפטי נגד </w:t>
      </w:r>
      <w:r>
        <w:rPr>
          <w:rFonts w:ascii="David" w:eastAsia="Calibri" w:hAnsi="David" w:cs="David"/>
          <w:sz w:val="24"/>
          <w:szCs w:val="24"/>
          <w:rtl/>
        </w:rPr>
        <w:t>ח.</w:t>
      </w:r>
      <w:r w:rsidRPr="00944FC1">
        <w:rPr>
          <w:rFonts w:ascii="David" w:eastAsia="Calibri" w:hAnsi="David" w:cs="David"/>
          <w:sz w:val="24"/>
          <w:szCs w:val="24"/>
          <w:rtl/>
        </w:rPr>
        <w:t xml:space="preserve"> כדי לממש את הזכויות הנטענות.  </w:t>
      </w:r>
    </w:p>
    <w:p w:rsidR="00944FC1" w:rsidRPr="00944FC1" w:rsidRDefault="00944FC1" w:rsidP="00944FC1">
      <w:pPr>
        <w:spacing w:after="0" w:line="360" w:lineRule="auto"/>
        <w:mirrorIndents/>
        <w:jc w:val="both"/>
        <w:rPr>
          <w:rFonts w:ascii="David" w:eastAsia="Calibri" w:hAnsi="David" w:cs="David"/>
          <w:sz w:val="24"/>
          <w:szCs w:val="24"/>
          <w:rtl/>
        </w:rPr>
      </w:pPr>
    </w:p>
    <w:p w:rsidR="00944FC1" w:rsidRPr="00944FC1" w:rsidRDefault="00944FC1" w:rsidP="00944FC1">
      <w:pPr>
        <w:spacing w:after="0" w:line="360" w:lineRule="auto"/>
        <w:ind w:left="-227" w:right="-113"/>
        <w:mirrorIndents/>
        <w:jc w:val="both"/>
        <w:rPr>
          <w:rFonts w:ascii="David" w:eastAsia="Calibri" w:hAnsi="David" w:cs="David"/>
          <w:b/>
          <w:bCs/>
          <w:sz w:val="24"/>
          <w:szCs w:val="24"/>
          <w:u w:val="single"/>
          <w:rtl/>
        </w:rPr>
      </w:pPr>
      <w:r w:rsidRPr="00944FC1">
        <w:rPr>
          <w:rFonts w:ascii="David" w:eastAsia="Calibri" w:hAnsi="David" w:cs="David" w:hint="cs"/>
          <w:b/>
          <w:bCs/>
          <w:sz w:val="24"/>
          <w:szCs w:val="24"/>
          <w:u w:val="single"/>
          <w:rtl/>
        </w:rPr>
        <w:t>תמצית טענות התובעים</w:t>
      </w:r>
    </w:p>
    <w:p w:rsidR="00944FC1" w:rsidRPr="00944FC1" w:rsidRDefault="00944FC1" w:rsidP="00944FC1">
      <w:pPr>
        <w:spacing w:after="0" w:line="360" w:lineRule="auto"/>
        <w:ind w:left="-227" w:right="-113"/>
        <w:mirrorIndents/>
        <w:jc w:val="both"/>
        <w:rPr>
          <w:rFonts w:ascii="David" w:eastAsia="Calibri" w:hAnsi="David" w:cs="David"/>
          <w:b/>
          <w:bCs/>
          <w:sz w:val="24"/>
          <w:szCs w:val="24"/>
          <w:u w:val="single"/>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Pr>
          <w:rFonts w:ascii="David" w:eastAsia="Calibri" w:hAnsi="David" w:cs="David"/>
          <w:sz w:val="24"/>
          <w:szCs w:val="24"/>
          <w:rtl/>
        </w:rPr>
        <w:t>ח.</w:t>
      </w:r>
      <w:r w:rsidRPr="00944FC1">
        <w:rPr>
          <w:rFonts w:ascii="David" w:eastAsia="Calibri" w:hAnsi="David" w:cs="David"/>
          <w:sz w:val="24"/>
          <w:szCs w:val="24"/>
          <w:rtl/>
        </w:rPr>
        <w:t xml:space="preserve"> החזיק עבור </w:t>
      </w:r>
      <w:r>
        <w:rPr>
          <w:rFonts w:ascii="David" w:eastAsia="Calibri" w:hAnsi="David" w:cs="David"/>
          <w:sz w:val="24"/>
          <w:szCs w:val="24"/>
          <w:rtl/>
        </w:rPr>
        <w:t>מ.</w:t>
      </w:r>
      <w:r w:rsidRPr="00944FC1">
        <w:rPr>
          <w:rFonts w:ascii="David" w:eastAsia="Calibri" w:hAnsi="David" w:cs="David"/>
          <w:sz w:val="24"/>
          <w:szCs w:val="24"/>
          <w:rtl/>
        </w:rPr>
        <w:t xml:space="preserve"> בנאמנות נכסי מקרקעין שונים וכן את הזכויות בחברה. הנאמנות צמחה מכוח הסכמים בעל פה ומערכת יחסים משפחתית מיוחדת ששררה בין האחים. </w:t>
      </w:r>
    </w:p>
    <w:p w:rsidR="00944FC1" w:rsidRPr="00944FC1" w:rsidRDefault="00944FC1" w:rsidP="00944FC1">
      <w:pPr>
        <w:spacing w:after="0" w:line="360" w:lineRule="auto"/>
        <w:ind w:left="215"/>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בשיחות המוקלטות, הודה </w:t>
      </w:r>
      <w:r>
        <w:rPr>
          <w:rFonts w:ascii="David" w:eastAsia="Calibri" w:hAnsi="David" w:cs="David"/>
          <w:sz w:val="24"/>
          <w:szCs w:val="24"/>
          <w:rtl/>
        </w:rPr>
        <w:t>ח.</w:t>
      </w:r>
      <w:r w:rsidRPr="00944FC1">
        <w:rPr>
          <w:rFonts w:ascii="David" w:eastAsia="Calibri" w:hAnsi="David" w:cs="David"/>
          <w:sz w:val="24"/>
          <w:szCs w:val="24"/>
          <w:rtl/>
        </w:rPr>
        <w:t xml:space="preserve"> בקיומם של יחסי אמון מיוחדים עם </w:t>
      </w:r>
      <w:r>
        <w:rPr>
          <w:rFonts w:ascii="David" w:eastAsia="Calibri" w:hAnsi="David" w:cs="David"/>
          <w:sz w:val="24"/>
          <w:szCs w:val="24"/>
          <w:rtl/>
        </w:rPr>
        <w:t>מ.</w:t>
      </w:r>
      <w:r w:rsidRPr="00944FC1">
        <w:rPr>
          <w:rFonts w:ascii="David" w:eastAsia="Calibri" w:hAnsi="David" w:cs="David"/>
          <w:sz w:val="24"/>
          <w:szCs w:val="24"/>
          <w:rtl/>
        </w:rPr>
        <w:t xml:space="preserve">, שמכוחם החזיק עבורו חלק מהנכסים בנאמנות. לחילופין, מהשיחות המוקלטות עולה הבטחה מפורשת ומחייבת של </w:t>
      </w:r>
      <w:r>
        <w:rPr>
          <w:rFonts w:ascii="David" w:eastAsia="Calibri" w:hAnsi="David" w:cs="David"/>
          <w:sz w:val="24"/>
          <w:szCs w:val="24"/>
          <w:rtl/>
        </w:rPr>
        <w:t>ח.</w:t>
      </w:r>
      <w:r w:rsidRPr="00944FC1">
        <w:rPr>
          <w:rFonts w:ascii="David" w:eastAsia="Calibri" w:hAnsi="David" w:cs="David"/>
          <w:sz w:val="24"/>
          <w:szCs w:val="24"/>
          <w:rtl/>
        </w:rPr>
        <w:t xml:space="preserve"> להעביר ל</w:t>
      </w:r>
      <w:r>
        <w:rPr>
          <w:rFonts w:ascii="David" w:eastAsia="Calibri" w:hAnsi="David" w:cs="David"/>
          <w:sz w:val="24"/>
          <w:szCs w:val="24"/>
          <w:rtl/>
        </w:rPr>
        <w:t>מ.</w:t>
      </w:r>
      <w:r w:rsidRPr="00944FC1">
        <w:rPr>
          <w:rFonts w:ascii="David" w:eastAsia="Calibri" w:hAnsi="David" w:cs="David"/>
          <w:sz w:val="24"/>
          <w:szCs w:val="24"/>
          <w:rtl/>
        </w:rPr>
        <w:t xml:space="preserve"> חלקים בנכסים ובזכויות בחברה.</w:t>
      </w:r>
    </w:p>
    <w:p w:rsidR="00944FC1" w:rsidRPr="00944FC1" w:rsidRDefault="00944FC1" w:rsidP="00944FC1">
      <w:pPr>
        <w:spacing w:after="0" w:line="360" w:lineRule="auto"/>
        <w:ind w:left="501"/>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לאחים היו הסדרים כספיים נוספים שלא באו לידי ביטוי ב</w:t>
      </w:r>
      <w:r w:rsidRPr="00944FC1">
        <w:rPr>
          <w:rFonts w:ascii="David" w:eastAsia="Calibri" w:hAnsi="David" w:cs="David" w:hint="cs"/>
          <w:sz w:val="24"/>
          <w:szCs w:val="24"/>
          <w:rtl/>
        </w:rPr>
        <w:t xml:space="preserve">מרשמים </w:t>
      </w:r>
      <w:r w:rsidRPr="00944FC1">
        <w:rPr>
          <w:rFonts w:ascii="David" w:eastAsia="Calibri" w:hAnsi="David" w:cs="David"/>
          <w:sz w:val="24"/>
          <w:szCs w:val="24"/>
          <w:rtl/>
        </w:rPr>
        <w:t>הרשמיים, כגון חשבונות בנק משותפים וקופה עסקית מאוחדת</w:t>
      </w:r>
      <w:r w:rsidRPr="00944FC1">
        <w:rPr>
          <w:rFonts w:ascii="David" w:eastAsia="Calibri" w:hAnsi="David" w:cs="David" w:hint="cs"/>
          <w:sz w:val="24"/>
          <w:szCs w:val="24"/>
          <w:rtl/>
        </w:rPr>
        <w:t>. הסדרים אלו מלמדים</w:t>
      </w:r>
      <w:r w:rsidRPr="00944FC1">
        <w:rPr>
          <w:rFonts w:ascii="David" w:eastAsia="Calibri" w:hAnsi="David" w:cs="David"/>
          <w:sz w:val="24"/>
          <w:szCs w:val="24"/>
          <w:rtl/>
        </w:rPr>
        <w:t xml:space="preserve"> על מערכת כלכלית שיתופית.</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לנוכח מערכת היחסים האמיצה והמיוחדת בין האחים, בה האח הבכור </w:t>
      </w:r>
      <w:r>
        <w:rPr>
          <w:rFonts w:ascii="David" w:eastAsia="Calibri" w:hAnsi="David" w:cs="David"/>
          <w:sz w:val="24"/>
          <w:szCs w:val="24"/>
          <w:rtl/>
        </w:rPr>
        <w:t>ח.</w:t>
      </w:r>
      <w:r w:rsidRPr="00944FC1">
        <w:rPr>
          <w:rFonts w:ascii="David" w:eastAsia="Calibri" w:hAnsi="David" w:cs="David"/>
          <w:sz w:val="24"/>
          <w:szCs w:val="24"/>
          <w:rtl/>
        </w:rPr>
        <w:t xml:space="preserve"> היה דמות אב בעבור </w:t>
      </w:r>
      <w:r>
        <w:rPr>
          <w:rFonts w:ascii="David" w:eastAsia="Calibri" w:hAnsi="David" w:cs="David"/>
          <w:sz w:val="24"/>
          <w:szCs w:val="24"/>
          <w:rtl/>
        </w:rPr>
        <w:t>מ.</w:t>
      </w:r>
      <w:r w:rsidRPr="00944FC1">
        <w:rPr>
          <w:rFonts w:ascii="David" w:eastAsia="Calibri" w:hAnsi="David" w:cs="David"/>
          <w:sz w:val="24"/>
          <w:szCs w:val="24"/>
          <w:rtl/>
        </w:rPr>
        <w:t xml:space="preserve"> ומי שדאג לצרכיו, יש לראות בנכסים נושא התביעה כמוחזקים למעשה במשותף או לטובת </w:t>
      </w:r>
      <w:r>
        <w:rPr>
          <w:rFonts w:ascii="David" w:eastAsia="Calibri" w:hAnsi="David" w:cs="David"/>
          <w:sz w:val="24"/>
          <w:szCs w:val="24"/>
          <w:rtl/>
        </w:rPr>
        <w:t>מ.</w:t>
      </w:r>
      <w:r w:rsidRPr="00944FC1">
        <w:rPr>
          <w:rFonts w:ascii="David" w:eastAsia="Calibri" w:hAnsi="David" w:cs="David"/>
          <w:sz w:val="24"/>
          <w:szCs w:val="24"/>
          <w:rtl/>
        </w:rPr>
        <w:t xml:space="preserve">. </w:t>
      </w:r>
    </w:p>
    <w:p w:rsidR="00944FC1" w:rsidRPr="00944FC1" w:rsidRDefault="00944FC1" w:rsidP="00944FC1">
      <w:pPr>
        <w:spacing w:after="0" w:line="360" w:lineRule="auto"/>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b/>
          <w:bCs/>
          <w:sz w:val="24"/>
          <w:szCs w:val="24"/>
          <w:u w:val="single"/>
        </w:rPr>
      </w:pPr>
      <w:r w:rsidRPr="00944FC1">
        <w:rPr>
          <w:rFonts w:ascii="David" w:eastAsia="Calibri" w:hAnsi="David" w:cs="David"/>
          <w:sz w:val="24"/>
          <w:szCs w:val="24"/>
          <w:rtl/>
        </w:rPr>
        <w:t xml:space="preserve">התובעים טוענים שיש לראות בהתנהגות </w:t>
      </w:r>
      <w:r>
        <w:rPr>
          <w:rFonts w:ascii="David" w:eastAsia="Calibri" w:hAnsi="David" w:cs="David"/>
          <w:sz w:val="24"/>
          <w:szCs w:val="24"/>
          <w:rtl/>
        </w:rPr>
        <w:t>ח.</w:t>
      </w:r>
      <w:r w:rsidRPr="00944FC1">
        <w:rPr>
          <w:rFonts w:ascii="David" w:eastAsia="Calibri" w:hAnsi="David" w:cs="David"/>
          <w:sz w:val="24"/>
          <w:szCs w:val="24"/>
          <w:rtl/>
        </w:rPr>
        <w:t xml:space="preserve"> במהלך השיחות המשפחתיות משום הכרה מפורשת או מכללא בזכויות הקיימות של </w:t>
      </w:r>
      <w:r>
        <w:rPr>
          <w:rFonts w:ascii="David" w:eastAsia="Calibri" w:hAnsi="David" w:cs="David"/>
          <w:sz w:val="24"/>
          <w:szCs w:val="24"/>
          <w:rtl/>
        </w:rPr>
        <w:t>מ.</w:t>
      </w:r>
      <w:r w:rsidRPr="00944FC1">
        <w:rPr>
          <w:rFonts w:ascii="David" w:eastAsia="Calibri" w:hAnsi="David" w:cs="David"/>
          <w:sz w:val="24"/>
          <w:szCs w:val="24"/>
          <w:rtl/>
        </w:rPr>
        <w:t>. הם דוחים את טענת הנתבעות שתביעתם הוגשה בשיהוי, ואת טענתן לקיומ</w:t>
      </w:r>
      <w:r w:rsidRPr="00944FC1">
        <w:rPr>
          <w:rFonts w:ascii="David" w:eastAsia="Calibri" w:hAnsi="David" w:cs="David" w:hint="cs"/>
          <w:sz w:val="24"/>
          <w:szCs w:val="24"/>
          <w:rtl/>
        </w:rPr>
        <w:t xml:space="preserve">ם של </w:t>
      </w:r>
      <w:r w:rsidRPr="00944FC1">
        <w:rPr>
          <w:rFonts w:ascii="David" w:eastAsia="Calibri" w:hAnsi="David" w:cs="David"/>
          <w:sz w:val="24"/>
          <w:szCs w:val="24"/>
          <w:rtl/>
        </w:rPr>
        <w:t>מעשה בית דין</w:t>
      </w:r>
      <w:r w:rsidRPr="00944FC1">
        <w:rPr>
          <w:rFonts w:ascii="David" w:eastAsia="Calibri" w:hAnsi="David" w:cs="David" w:hint="cs"/>
          <w:sz w:val="24"/>
          <w:szCs w:val="24"/>
          <w:rtl/>
        </w:rPr>
        <w:t xml:space="preserve"> והשתק שיפוטי</w:t>
      </w:r>
      <w:r w:rsidRPr="00944FC1">
        <w:rPr>
          <w:rFonts w:ascii="David" w:eastAsia="Calibri" w:hAnsi="David" w:cs="David"/>
          <w:sz w:val="24"/>
          <w:szCs w:val="24"/>
          <w:rtl/>
        </w:rPr>
        <w:t xml:space="preserve">.  </w:t>
      </w:r>
    </w:p>
    <w:p w:rsidR="00944FC1" w:rsidRPr="00944FC1" w:rsidRDefault="00944FC1" w:rsidP="00944FC1">
      <w:pPr>
        <w:spacing w:after="0" w:line="360" w:lineRule="auto"/>
        <w:ind w:left="501"/>
        <w:contextualSpacing/>
        <w:mirrorIndents/>
        <w:jc w:val="both"/>
        <w:rPr>
          <w:rFonts w:ascii="David" w:eastAsia="Calibri" w:hAnsi="David" w:cs="David"/>
          <w:b/>
          <w:bCs/>
          <w:sz w:val="24"/>
          <w:szCs w:val="24"/>
          <w:u w:val="single"/>
          <w:rtl/>
        </w:rPr>
      </w:pPr>
    </w:p>
    <w:p w:rsidR="00944FC1" w:rsidRPr="00944FC1" w:rsidRDefault="00944FC1" w:rsidP="00944FC1">
      <w:pPr>
        <w:spacing w:after="0" w:line="360" w:lineRule="auto"/>
        <w:ind w:right="-113"/>
        <w:contextualSpacing/>
        <w:mirrorIndents/>
        <w:jc w:val="both"/>
        <w:rPr>
          <w:rFonts w:ascii="David" w:eastAsia="Calibri" w:hAnsi="David" w:cs="David"/>
          <w:b/>
          <w:bCs/>
          <w:sz w:val="24"/>
          <w:szCs w:val="24"/>
          <w:u w:val="single"/>
          <w:rtl/>
        </w:rPr>
      </w:pPr>
      <w:r w:rsidRPr="00944FC1">
        <w:rPr>
          <w:rFonts w:ascii="David" w:eastAsia="Calibri" w:hAnsi="David" w:cs="David"/>
          <w:b/>
          <w:bCs/>
          <w:sz w:val="24"/>
          <w:szCs w:val="24"/>
          <w:u w:val="single"/>
          <w:rtl/>
        </w:rPr>
        <w:t>תמצית טענות הנתבעות</w:t>
      </w:r>
    </w:p>
    <w:p w:rsidR="00944FC1" w:rsidRPr="00944FC1" w:rsidRDefault="00944FC1" w:rsidP="00944FC1">
      <w:pPr>
        <w:spacing w:after="0" w:line="360" w:lineRule="auto"/>
        <w:ind w:right="-113"/>
        <w:contextualSpacing/>
        <w:mirrorIndents/>
        <w:jc w:val="both"/>
        <w:rPr>
          <w:rFonts w:ascii="David" w:eastAsia="Calibri" w:hAnsi="David" w:cs="David"/>
          <w:b/>
          <w:bCs/>
          <w:sz w:val="24"/>
          <w:szCs w:val="24"/>
          <w:u w:val="single"/>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כל הנכסים נושא ההליכים נרכשו ומומנו במלואם על ידי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א.</w:t>
      </w:r>
      <w:r w:rsidRPr="00944FC1">
        <w:rPr>
          <w:rFonts w:ascii="David" w:eastAsia="Calibri" w:hAnsi="David" w:cs="David"/>
          <w:sz w:val="24"/>
          <w:szCs w:val="24"/>
          <w:rtl/>
        </w:rPr>
        <w:t xml:space="preserve"> מכספם הפרטי, ללא כל מעורבות או השקעה של </w:t>
      </w:r>
      <w:r>
        <w:rPr>
          <w:rFonts w:ascii="David" w:eastAsia="Calibri" w:hAnsi="David" w:cs="David"/>
          <w:sz w:val="24"/>
          <w:szCs w:val="24"/>
          <w:rtl/>
        </w:rPr>
        <w:t>מ.</w:t>
      </w:r>
      <w:r w:rsidRPr="00944FC1">
        <w:rPr>
          <w:rFonts w:ascii="David" w:eastAsia="Calibri" w:hAnsi="David" w:cs="David"/>
          <w:sz w:val="24"/>
          <w:szCs w:val="24"/>
          <w:rtl/>
        </w:rPr>
        <w:t>.</w:t>
      </w:r>
    </w:p>
    <w:p w:rsidR="00944FC1" w:rsidRPr="00944FC1" w:rsidRDefault="00944FC1" w:rsidP="00944FC1">
      <w:pPr>
        <w:spacing w:after="0" w:line="360" w:lineRule="auto"/>
        <w:ind w:left="501"/>
        <w:contextualSpacing/>
        <w:mirrorIndents/>
        <w:jc w:val="both"/>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lastRenderedPageBreak/>
        <w:t>ההקלטות החשאיות שנערכו על ידי התובעים במפגשים משפחתיים, הן בבחינת "פרי העץ המורעל" שהושג תוך הפרה בוטה של אמון וחובת תום לב. לפיכך, אין לתת להן כל משקל. בכל מקרה אין בהן כדי לשנות את המצב המשפטי.</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הנתבעות דוחות את הפרשנות שמבקשים התובעים לייחס לדברי </w:t>
      </w:r>
      <w:r>
        <w:rPr>
          <w:rFonts w:ascii="David" w:eastAsia="Calibri" w:hAnsi="David" w:cs="David"/>
          <w:sz w:val="24"/>
          <w:szCs w:val="24"/>
          <w:rtl/>
        </w:rPr>
        <w:t>ח.</w:t>
      </w:r>
      <w:r w:rsidRPr="00944FC1">
        <w:rPr>
          <w:rFonts w:ascii="David" w:eastAsia="Calibri" w:hAnsi="David" w:cs="David"/>
          <w:sz w:val="24"/>
          <w:szCs w:val="24"/>
          <w:rtl/>
        </w:rPr>
        <w:t xml:space="preserve"> באותן הקלטות. לשיטתן, דברי</w:t>
      </w:r>
      <w:r w:rsidRPr="00944FC1">
        <w:rPr>
          <w:rFonts w:ascii="David" w:eastAsia="Calibri" w:hAnsi="David" w:cs="David" w:hint="cs"/>
          <w:sz w:val="24"/>
          <w:szCs w:val="24"/>
          <w:rtl/>
        </w:rPr>
        <w:t xml:space="preserve">ם אלו , </w:t>
      </w:r>
      <w:r w:rsidRPr="00944FC1">
        <w:rPr>
          <w:rFonts w:ascii="David" w:eastAsia="Calibri" w:hAnsi="David" w:cs="David"/>
          <w:sz w:val="24"/>
          <w:szCs w:val="24"/>
          <w:rtl/>
        </w:rPr>
        <w:t>כל היותר</w:t>
      </w:r>
      <w:r w:rsidRPr="00944FC1">
        <w:rPr>
          <w:rFonts w:ascii="David" w:eastAsia="Calibri" w:hAnsi="David" w:cs="David" w:hint="cs"/>
          <w:sz w:val="24"/>
          <w:szCs w:val="24"/>
          <w:rtl/>
        </w:rPr>
        <w:t xml:space="preserve">, </w:t>
      </w:r>
      <w:r w:rsidRPr="00944FC1">
        <w:rPr>
          <w:rFonts w:ascii="David" w:eastAsia="Calibri" w:hAnsi="David" w:cs="David"/>
          <w:sz w:val="24"/>
          <w:szCs w:val="24"/>
          <w:rtl/>
        </w:rPr>
        <w:t xml:space="preserve"> נאמרו כהצהרת כוונות עתידית מותנית, וממילא הצהרות אלו לא גובשו לכדי הסכם מחייב באופן המקים לתובעים זכויות קנייניות.</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בפועל</w:t>
      </w:r>
      <w:r w:rsidRPr="00944FC1">
        <w:rPr>
          <w:rFonts w:ascii="David" w:eastAsia="Calibri" w:hAnsi="David" w:cs="David" w:hint="cs"/>
          <w:sz w:val="24"/>
          <w:szCs w:val="24"/>
          <w:rtl/>
        </w:rPr>
        <w:t>,</w:t>
      </w:r>
      <w:r w:rsidRPr="00944FC1">
        <w:rPr>
          <w:rFonts w:ascii="David" w:eastAsia="Calibri" w:hAnsi="David" w:cs="David"/>
          <w:sz w:val="24"/>
          <w:szCs w:val="24"/>
          <w:rtl/>
        </w:rPr>
        <w:t xml:space="preserve"> בהמשך לאותן שיחות, </w:t>
      </w:r>
      <w:r>
        <w:rPr>
          <w:rFonts w:ascii="David" w:eastAsia="Calibri" w:hAnsi="David" w:cs="David"/>
          <w:sz w:val="24"/>
          <w:szCs w:val="24"/>
          <w:rtl/>
        </w:rPr>
        <w:t>ח.</w:t>
      </w:r>
      <w:r w:rsidRPr="00944FC1">
        <w:rPr>
          <w:rFonts w:ascii="David" w:eastAsia="Calibri" w:hAnsi="David" w:cs="David"/>
          <w:sz w:val="24"/>
          <w:szCs w:val="24"/>
          <w:rtl/>
        </w:rPr>
        <w:t xml:space="preserve"> לא העביר זכויות על שם </w:t>
      </w:r>
      <w:r>
        <w:rPr>
          <w:rFonts w:ascii="David" w:eastAsia="Calibri" w:hAnsi="David" w:cs="David"/>
          <w:sz w:val="24"/>
          <w:szCs w:val="24"/>
          <w:rtl/>
        </w:rPr>
        <w:t>מ.</w:t>
      </w:r>
      <w:r w:rsidRPr="00944FC1">
        <w:rPr>
          <w:rFonts w:ascii="David" w:eastAsia="Calibri" w:hAnsi="David" w:cs="David"/>
          <w:sz w:val="24"/>
          <w:szCs w:val="24"/>
          <w:rtl/>
        </w:rPr>
        <w:t xml:space="preserve"> בנכסים או בחברה, ו</w:t>
      </w:r>
      <w:r>
        <w:rPr>
          <w:rFonts w:ascii="David" w:eastAsia="Calibri" w:hAnsi="David" w:cs="David"/>
          <w:sz w:val="24"/>
          <w:szCs w:val="24"/>
          <w:rtl/>
        </w:rPr>
        <w:t>מ.</w:t>
      </w:r>
      <w:r w:rsidRPr="00944FC1">
        <w:rPr>
          <w:rFonts w:ascii="David" w:eastAsia="Calibri" w:hAnsi="David" w:cs="David"/>
          <w:sz w:val="24"/>
          <w:szCs w:val="24"/>
          <w:rtl/>
        </w:rPr>
        <w:t xml:space="preserve"> מעולם לא תבע זכויות בהם. התנהלותו זו של </w:t>
      </w:r>
      <w:r>
        <w:rPr>
          <w:rFonts w:ascii="David" w:eastAsia="Calibri" w:hAnsi="David" w:cs="David"/>
          <w:sz w:val="24"/>
          <w:szCs w:val="24"/>
          <w:rtl/>
        </w:rPr>
        <w:t>מ.</w:t>
      </w:r>
      <w:r w:rsidRPr="00944FC1">
        <w:rPr>
          <w:rFonts w:ascii="David" w:eastAsia="Calibri" w:hAnsi="David" w:cs="David"/>
          <w:sz w:val="24"/>
          <w:szCs w:val="24"/>
          <w:rtl/>
        </w:rPr>
        <w:t xml:space="preserve"> מלמדת שלא ראה עצמו כבעל זכויות ממשיות בנכסים אלו.</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Pr>
          <w:rFonts w:ascii="David" w:eastAsia="Calibri" w:hAnsi="David" w:cs="David"/>
          <w:sz w:val="24"/>
          <w:szCs w:val="24"/>
          <w:rtl/>
        </w:rPr>
        <w:t>מ.</w:t>
      </w:r>
      <w:r w:rsidRPr="00944FC1">
        <w:rPr>
          <w:rFonts w:ascii="David" w:eastAsia="Calibri" w:hAnsi="David" w:cs="David"/>
          <w:sz w:val="24"/>
          <w:szCs w:val="24"/>
          <w:rtl/>
        </w:rPr>
        <w:t xml:space="preserve"> ידע היטב לנהל מאבקים משפטיים כאשר חפץ בכך, כפי שעשה במסגרת הליכי הגירושין הממושכים מול אשתו, אך הוא בחר במודע שלא להגיש תביעה בקשר לנכסיו של </w:t>
      </w:r>
      <w:r>
        <w:rPr>
          <w:rFonts w:ascii="David" w:eastAsia="Calibri" w:hAnsi="David" w:cs="David"/>
          <w:sz w:val="24"/>
          <w:szCs w:val="24"/>
          <w:rtl/>
        </w:rPr>
        <w:t>ח</w:t>
      </w:r>
      <w:r w:rsidRPr="00944FC1">
        <w:rPr>
          <w:rFonts w:ascii="David" w:eastAsia="Calibri" w:hAnsi="David" w:cs="David"/>
          <w:sz w:val="24"/>
          <w:szCs w:val="24"/>
          <w:rtl/>
        </w:rPr>
        <w:t xml:space="preserve">.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תביעות התובעים התיישנו או שהוגשו בשיהוי ניכר. התובעים גם מושתקים לטעון לזכויות בנכסים בשל קיומו של מעשה בית דין או בשל השתק שיפוטי. גם מטעמים אלו יש לדחות את התביעות.</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spacing w:after="0" w:line="360" w:lineRule="auto"/>
        <w:ind w:left="-113" w:right="-113"/>
        <w:contextualSpacing/>
        <w:mirrorIndents/>
        <w:jc w:val="both"/>
        <w:rPr>
          <w:rFonts w:ascii="David" w:eastAsia="Calibri" w:hAnsi="David" w:cs="David"/>
          <w:b/>
          <w:bCs/>
          <w:sz w:val="24"/>
          <w:szCs w:val="24"/>
          <w:u w:val="single"/>
          <w:rtl/>
        </w:rPr>
      </w:pPr>
      <w:r w:rsidRPr="00944FC1">
        <w:rPr>
          <w:rFonts w:ascii="David" w:eastAsia="Calibri" w:hAnsi="David" w:cs="David"/>
          <w:b/>
          <w:bCs/>
          <w:sz w:val="24"/>
          <w:szCs w:val="24"/>
          <w:u w:val="single"/>
          <w:rtl/>
        </w:rPr>
        <w:t>דיון ומסקנות</w:t>
      </w:r>
    </w:p>
    <w:p w:rsidR="00944FC1" w:rsidRPr="00944FC1" w:rsidRDefault="00944FC1" w:rsidP="00944FC1">
      <w:pPr>
        <w:spacing w:after="0" w:line="360" w:lineRule="auto"/>
        <w:ind w:left="-113" w:right="-113"/>
        <w:contextualSpacing/>
        <w:mirrorIndents/>
        <w:jc w:val="both"/>
        <w:rPr>
          <w:rFonts w:ascii="David" w:eastAsia="Calibri" w:hAnsi="David" w:cs="David"/>
          <w:b/>
          <w:bCs/>
          <w:sz w:val="24"/>
          <w:szCs w:val="24"/>
          <w:u w:val="single"/>
        </w:rPr>
      </w:pPr>
    </w:p>
    <w:p w:rsidR="00944FC1" w:rsidRPr="00944FC1" w:rsidRDefault="00944FC1" w:rsidP="003463A9">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לאחר שמיעת העדים, עיון באסמכתאות הרבות שהוגשו ובסיכומים רחבי היריעה- הגעתי למסקנה כי למעט טענת התובעים בעניין אופן פירוק השותפות ח.מ.</w:t>
      </w:r>
      <w:r w:rsidR="003463A9">
        <w:rPr>
          <w:rFonts w:ascii="David" w:eastAsia="Calibri" w:hAnsi="David" w:cs="David" w:hint="cs"/>
          <w:sz w:val="24"/>
          <w:szCs w:val="24"/>
          <w:rtl/>
        </w:rPr>
        <w:t>מ</w:t>
      </w:r>
      <w:r w:rsidRPr="00944FC1">
        <w:rPr>
          <w:rFonts w:ascii="David" w:eastAsia="Calibri" w:hAnsi="David" w:cs="David"/>
          <w:sz w:val="24"/>
          <w:szCs w:val="24"/>
          <w:rtl/>
        </w:rPr>
        <w:t>, יש לדחות את שלושת התביעות. להלן נימוקיי למסקנה.</w:t>
      </w:r>
    </w:p>
    <w:p w:rsidR="00944FC1" w:rsidRPr="00944FC1" w:rsidRDefault="00944FC1" w:rsidP="00944FC1">
      <w:pPr>
        <w:spacing w:after="0" w:line="360" w:lineRule="auto"/>
        <w:ind w:left="357"/>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תחילה אעמוד בקצרה על נטל ההוכחה בתביעות, משקלן של ההקלטות שהוגשו, וטענת התובעים לקיומה של נאמנות.  </w:t>
      </w:r>
    </w:p>
    <w:p w:rsidR="00944FC1" w:rsidRPr="00944FC1" w:rsidRDefault="00944FC1" w:rsidP="00944FC1">
      <w:pPr>
        <w:spacing w:after="0" w:line="360" w:lineRule="auto"/>
        <w:ind w:left="501"/>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b/>
          <w:bCs/>
          <w:sz w:val="24"/>
          <w:szCs w:val="24"/>
          <w:rtl/>
        </w:rPr>
        <w:t>נטל ההוכחה</w:t>
      </w:r>
      <w:r w:rsidRPr="00944FC1">
        <w:rPr>
          <w:rFonts w:ascii="David" w:eastAsia="Calibri" w:hAnsi="David" w:cs="David"/>
          <w:sz w:val="24"/>
          <w:szCs w:val="24"/>
          <w:rtl/>
        </w:rPr>
        <w:t xml:space="preserve"> – הנטל המוטל על כל צד בתביעתו הוא נטל כבד. שלוש התביעות הן תביעות נגד עיזבון. המחלוקת בין הצדדים נסובה סביב פרשנות של אירועים והסכמים שהתרחשו לפני עשרות שנים, כאשר העדים המרכזיים -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מ.</w:t>
      </w:r>
      <w:r w:rsidRPr="00944FC1">
        <w:rPr>
          <w:rFonts w:ascii="David" w:eastAsia="Calibri" w:hAnsi="David" w:cs="David"/>
          <w:sz w:val="24"/>
          <w:szCs w:val="24"/>
          <w:rtl/>
        </w:rPr>
        <w:t xml:space="preserve"> - אינם בין ה</w:t>
      </w:r>
      <w:r>
        <w:rPr>
          <w:rFonts w:ascii="David" w:eastAsia="Calibri" w:hAnsi="David" w:cs="David"/>
          <w:sz w:val="24"/>
          <w:szCs w:val="24"/>
          <w:rtl/>
        </w:rPr>
        <w:t>ח</w:t>
      </w:r>
      <w:r>
        <w:rPr>
          <w:rFonts w:ascii="David" w:eastAsia="Calibri" w:hAnsi="David" w:cs="David" w:hint="cs"/>
          <w:sz w:val="24"/>
          <w:szCs w:val="24"/>
          <w:rtl/>
        </w:rPr>
        <w:t>יים</w:t>
      </w:r>
      <w:r w:rsidRPr="00944FC1">
        <w:rPr>
          <w:rFonts w:ascii="David" w:eastAsia="Calibri" w:hAnsi="David" w:cs="David"/>
          <w:sz w:val="24"/>
          <w:szCs w:val="24"/>
          <w:rtl/>
        </w:rPr>
        <w:t xml:space="preserve">, ולא ניתן להתרשם באופן בלתי אמצעי מעדותם. מטעם זה הנטל המוטל על כל תובע הוא נטל כבד (ע"א 575/78 </w:t>
      </w:r>
      <w:r w:rsidRPr="00944FC1">
        <w:rPr>
          <w:rFonts w:ascii="David" w:eastAsia="Calibri" w:hAnsi="David" w:cs="David"/>
          <w:b/>
          <w:bCs/>
          <w:sz w:val="24"/>
          <w:szCs w:val="24"/>
          <w:rtl/>
        </w:rPr>
        <w:t>ברנהיים נ' פרנקל</w:t>
      </w:r>
      <w:r w:rsidRPr="00944FC1">
        <w:rPr>
          <w:rFonts w:ascii="David" w:eastAsia="Calibri" w:hAnsi="David" w:cs="David"/>
          <w:sz w:val="24"/>
          <w:szCs w:val="24"/>
          <w:rtl/>
        </w:rPr>
        <w:t>, פ"ד לג(3) 137</w:t>
      </w:r>
      <w:r w:rsidRPr="00944FC1">
        <w:rPr>
          <w:rFonts w:ascii="David" w:eastAsia="Calibri" w:hAnsi="David" w:cs="David" w:hint="cs"/>
          <w:sz w:val="24"/>
          <w:szCs w:val="24"/>
          <w:rtl/>
        </w:rPr>
        <w:t xml:space="preserve"> (1979)</w:t>
      </w:r>
      <w:r w:rsidRPr="00944FC1">
        <w:rPr>
          <w:rFonts w:ascii="David" w:eastAsia="Calibri" w:hAnsi="David" w:cs="David"/>
          <w:sz w:val="24"/>
          <w:szCs w:val="24"/>
          <w:rtl/>
        </w:rPr>
        <w:t xml:space="preserve">). בנוסף, תביעת התובעים בקשר לחנות, סותרת את הרישום בלשכת רישום המקרקעין. סעיף 125(א) לחוק המקרקעין, התשכ"ט-1969 (להלן: </w:t>
      </w:r>
      <w:r w:rsidRPr="00944FC1">
        <w:rPr>
          <w:rFonts w:ascii="David" w:eastAsia="Calibri" w:hAnsi="David" w:cs="David"/>
          <w:b/>
          <w:bCs/>
          <w:sz w:val="24"/>
          <w:szCs w:val="24"/>
          <w:rtl/>
        </w:rPr>
        <w:t>חוק המקרקעין</w:t>
      </w:r>
      <w:r w:rsidRPr="00944FC1">
        <w:rPr>
          <w:rFonts w:ascii="David" w:eastAsia="Calibri" w:hAnsi="David" w:cs="David"/>
          <w:sz w:val="24"/>
          <w:szCs w:val="24"/>
          <w:rtl/>
        </w:rPr>
        <w:t xml:space="preserve">) קובע כי הרישום ביחס למקרקעין מוסדרים מהווה ראיה חותכת לתוכנו. לפיכך הנטל לסתירת </w:t>
      </w:r>
      <w:r w:rsidRPr="00944FC1">
        <w:rPr>
          <w:rFonts w:ascii="David" w:eastAsia="Calibri" w:hAnsi="David" w:cs="David"/>
          <w:sz w:val="24"/>
          <w:szCs w:val="24"/>
          <w:rtl/>
        </w:rPr>
        <w:lastRenderedPageBreak/>
        <w:t xml:space="preserve">הרישום ולהוכחת הטענה שהרישום אינו משקף את מצב הזכויות האמיתי הוא נטל כבד מאוד (ע"א 2576/03 </w:t>
      </w:r>
      <w:r w:rsidRPr="00944FC1">
        <w:rPr>
          <w:rFonts w:ascii="David" w:eastAsia="Calibri" w:hAnsi="David" w:cs="David"/>
          <w:b/>
          <w:bCs/>
          <w:sz w:val="24"/>
          <w:szCs w:val="24"/>
          <w:rtl/>
        </w:rPr>
        <w:t>אהובה וינברג נ' האפוטרופוס לנכסי נפקדים</w:t>
      </w:r>
      <w:r w:rsidRPr="00944FC1">
        <w:rPr>
          <w:rFonts w:ascii="David" w:eastAsia="Calibri" w:hAnsi="David" w:cs="David"/>
          <w:sz w:val="24"/>
          <w:szCs w:val="24"/>
          <w:rtl/>
        </w:rPr>
        <w:t xml:space="preserve"> (</w:t>
      </w:r>
      <w:r w:rsidRPr="00944FC1">
        <w:rPr>
          <w:rFonts w:ascii="David" w:eastAsia="Calibri" w:hAnsi="David" w:cs="David"/>
          <w:sz w:val="24"/>
          <w:szCs w:val="24"/>
        </w:rPr>
        <w:t>((21.2.2007</w:t>
      </w:r>
      <w:r w:rsidRPr="00944FC1">
        <w:rPr>
          <w:rFonts w:ascii="David" w:eastAsia="Calibri" w:hAnsi="David" w:cs="David"/>
          <w:sz w:val="24"/>
          <w:szCs w:val="24"/>
          <w:rtl/>
        </w:rPr>
        <w:t xml:space="preserve">. </w:t>
      </w:r>
    </w:p>
    <w:p w:rsidR="00944FC1" w:rsidRPr="00944FC1" w:rsidRDefault="00944FC1" w:rsidP="00944FC1">
      <w:pPr>
        <w:spacing w:after="0" w:line="360" w:lineRule="auto"/>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b/>
          <w:bCs/>
          <w:sz w:val="24"/>
          <w:szCs w:val="24"/>
          <w:rtl/>
        </w:rPr>
        <w:t>ההקלטות</w:t>
      </w:r>
      <w:r w:rsidRPr="00944FC1">
        <w:rPr>
          <w:rFonts w:ascii="David" w:eastAsia="Calibri" w:hAnsi="David" w:cs="David"/>
          <w:sz w:val="24"/>
          <w:szCs w:val="24"/>
          <w:rtl/>
        </w:rPr>
        <w:t xml:space="preserve">- הסכסוך המשפחתי פרץ שנים רבות לפני הגשת התביעה. אין מדובר בסכסוך שבין </w:t>
      </w:r>
      <w:r>
        <w:rPr>
          <w:rFonts w:ascii="David" w:eastAsia="Calibri" w:hAnsi="David" w:cs="David"/>
          <w:sz w:val="24"/>
          <w:szCs w:val="24"/>
          <w:rtl/>
        </w:rPr>
        <w:t>מ.</w:t>
      </w:r>
      <w:r w:rsidRPr="00944FC1">
        <w:rPr>
          <w:rFonts w:ascii="David" w:eastAsia="Calibri" w:hAnsi="David" w:cs="David"/>
          <w:sz w:val="24"/>
          <w:szCs w:val="24"/>
          <w:rtl/>
        </w:rPr>
        <w:t xml:space="preserve"> ל</w:t>
      </w:r>
      <w:r>
        <w:rPr>
          <w:rFonts w:ascii="David" w:eastAsia="Calibri" w:hAnsi="David" w:cs="David"/>
          <w:sz w:val="24"/>
          <w:szCs w:val="24"/>
          <w:rtl/>
        </w:rPr>
        <w:t>ח.</w:t>
      </w:r>
      <w:r w:rsidRPr="00944FC1">
        <w:rPr>
          <w:rFonts w:ascii="David" w:eastAsia="Calibri" w:hAnsi="David" w:cs="David"/>
          <w:sz w:val="24"/>
          <w:szCs w:val="24"/>
          <w:rtl/>
        </w:rPr>
        <w:t xml:space="preserve"> לבדם, אלא בסכסוך שבין שתי המשפחות. בשנת 2011 התקיימה פגישה משפחתית שבה השתתפו </w:t>
      </w:r>
      <w:r>
        <w:rPr>
          <w:rFonts w:ascii="David" w:eastAsia="Calibri" w:hAnsi="David" w:cs="David"/>
          <w:sz w:val="24"/>
          <w:szCs w:val="24"/>
          <w:rtl/>
        </w:rPr>
        <w:t>מ.</w:t>
      </w:r>
      <w:r w:rsidRPr="00944FC1">
        <w:rPr>
          <w:rFonts w:ascii="David" w:eastAsia="Calibri" w:hAnsi="David" w:cs="David"/>
          <w:sz w:val="24"/>
          <w:szCs w:val="24"/>
          <w:rtl/>
        </w:rPr>
        <w:t xml:space="preserve"> והתובעים מצד אחד ו</w:t>
      </w:r>
      <w:r>
        <w:rPr>
          <w:rFonts w:ascii="David" w:eastAsia="Calibri" w:hAnsi="David" w:cs="David"/>
          <w:sz w:val="24"/>
          <w:szCs w:val="24"/>
          <w:rtl/>
        </w:rPr>
        <w:t>ח.</w:t>
      </w:r>
      <w:r w:rsidRPr="00944FC1">
        <w:rPr>
          <w:rFonts w:ascii="David" w:eastAsia="Calibri" w:hAnsi="David" w:cs="David"/>
          <w:sz w:val="24"/>
          <w:szCs w:val="24"/>
          <w:rtl/>
        </w:rPr>
        <w:t xml:space="preserve">, </w:t>
      </w:r>
      <w:r>
        <w:rPr>
          <w:rFonts w:ascii="David" w:eastAsia="Calibri" w:hAnsi="David" w:cs="David"/>
          <w:sz w:val="24"/>
          <w:szCs w:val="24"/>
          <w:rtl/>
        </w:rPr>
        <w:t>א.</w:t>
      </w:r>
      <w:r w:rsidRPr="00944FC1">
        <w:rPr>
          <w:rFonts w:ascii="David" w:eastAsia="Calibri" w:hAnsi="David" w:cs="David"/>
          <w:sz w:val="24"/>
          <w:szCs w:val="24"/>
          <w:rtl/>
        </w:rPr>
        <w:t xml:space="preserve"> והבת ו</w:t>
      </w:r>
      <w:r>
        <w:rPr>
          <w:rFonts w:ascii="David" w:eastAsia="Calibri" w:hAnsi="David" w:cs="David" w:hint="cs"/>
          <w:sz w:val="24"/>
          <w:szCs w:val="24"/>
          <w:rtl/>
        </w:rPr>
        <w:t>.</w:t>
      </w:r>
      <w:r w:rsidRPr="00944FC1">
        <w:rPr>
          <w:rFonts w:ascii="David" w:eastAsia="Calibri" w:hAnsi="David" w:cs="David"/>
          <w:sz w:val="24"/>
          <w:szCs w:val="24"/>
          <w:rtl/>
        </w:rPr>
        <w:t xml:space="preserve"> מהצד השני. אין מחלוקת בין הצדדים שהפגישה נועדה לישר את ההדורים שבין </w:t>
      </w:r>
      <w:r>
        <w:rPr>
          <w:rFonts w:ascii="David" w:eastAsia="Calibri" w:hAnsi="David" w:cs="David"/>
          <w:sz w:val="24"/>
          <w:szCs w:val="24"/>
          <w:rtl/>
        </w:rPr>
        <w:t>מ.</w:t>
      </w:r>
      <w:r w:rsidRPr="00944FC1">
        <w:rPr>
          <w:rFonts w:ascii="David" w:eastAsia="Calibri" w:hAnsi="David" w:cs="David"/>
          <w:sz w:val="24"/>
          <w:szCs w:val="24"/>
          <w:rtl/>
        </w:rPr>
        <w:t xml:space="preserve"> ל</w:t>
      </w:r>
      <w:r>
        <w:rPr>
          <w:rFonts w:ascii="David" w:eastAsia="Calibri" w:hAnsi="David" w:cs="David"/>
          <w:sz w:val="24"/>
          <w:szCs w:val="24"/>
          <w:rtl/>
        </w:rPr>
        <w:t>ח.</w:t>
      </w:r>
      <w:r w:rsidRPr="00944FC1">
        <w:rPr>
          <w:rFonts w:ascii="David" w:eastAsia="Calibri" w:hAnsi="David" w:cs="David"/>
          <w:sz w:val="24"/>
          <w:szCs w:val="24"/>
          <w:rtl/>
        </w:rPr>
        <w:t xml:space="preserve">. הפגישה הראשונה התקיימה ביום 15.7.2011. פגישה נוספת התקיימה ביום 2.8.2011. התובעים, שהיו מעורבים במחלקות עד צווארם, התייצבו לפגישות  מצוידים במכשיר הקלטה. </w:t>
      </w:r>
      <w:r>
        <w:rPr>
          <w:rFonts w:ascii="David" w:eastAsia="Calibri" w:hAnsi="David" w:cs="David"/>
          <w:sz w:val="24"/>
          <w:szCs w:val="24"/>
          <w:rtl/>
        </w:rPr>
        <w:t>כ.</w:t>
      </w:r>
      <w:r w:rsidRPr="00944FC1">
        <w:rPr>
          <w:rFonts w:ascii="David" w:eastAsia="Calibri" w:hAnsi="David" w:cs="David"/>
          <w:sz w:val="24"/>
          <w:szCs w:val="24"/>
          <w:rtl/>
        </w:rPr>
        <w:t xml:space="preserve"> אישרה בחקירתה כי </w:t>
      </w:r>
      <w:r>
        <w:rPr>
          <w:rFonts w:ascii="David" w:eastAsia="Calibri" w:hAnsi="David" w:cs="David"/>
          <w:sz w:val="24"/>
          <w:szCs w:val="24"/>
          <w:rtl/>
        </w:rPr>
        <w:t>מ.</w:t>
      </w:r>
      <w:r w:rsidRPr="00944FC1">
        <w:rPr>
          <w:rFonts w:ascii="David" w:eastAsia="Calibri" w:hAnsi="David" w:cs="David"/>
          <w:sz w:val="24"/>
          <w:szCs w:val="24"/>
          <w:rtl/>
        </w:rPr>
        <w:t xml:space="preserve"> ידע על ההקלטה. התובעים לא הודיעו ל</w:t>
      </w:r>
      <w:r>
        <w:rPr>
          <w:rFonts w:ascii="David" w:eastAsia="Calibri" w:hAnsi="David" w:cs="David"/>
          <w:sz w:val="24"/>
          <w:szCs w:val="24"/>
          <w:rtl/>
        </w:rPr>
        <w:t>ח.</w:t>
      </w:r>
      <w:r w:rsidRPr="00944FC1">
        <w:rPr>
          <w:rFonts w:ascii="David" w:eastAsia="Calibri" w:hAnsi="David" w:cs="David"/>
          <w:sz w:val="24"/>
          <w:szCs w:val="24"/>
          <w:rtl/>
        </w:rPr>
        <w:t xml:space="preserve"> שהשיחה מוקלטת. בחלקים מהשיחה ניכר שהתובעים  מנתבים את השיח למחוזות חפצם, כך כאשר </w:t>
      </w:r>
      <w:r>
        <w:rPr>
          <w:rFonts w:ascii="David" w:eastAsia="Calibri" w:hAnsi="David" w:cs="David"/>
          <w:sz w:val="24"/>
          <w:szCs w:val="24"/>
          <w:rtl/>
        </w:rPr>
        <w:t>ח.</w:t>
      </w:r>
      <w:r w:rsidRPr="00944FC1">
        <w:rPr>
          <w:rFonts w:ascii="David" w:eastAsia="Calibri" w:hAnsi="David" w:cs="David"/>
          <w:sz w:val="24"/>
          <w:szCs w:val="24"/>
          <w:rtl/>
        </w:rPr>
        <w:t xml:space="preserve"> מדבר על כספים ששילם לעורכי דינו של </w:t>
      </w:r>
      <w:r>
        <w:rPr>
          <w:rFonts w:ascii="David" w:eastAsia="Calibri" w:hAnsi="David" w:cs="David"/>
          <w:sz w:val="24"/>
          <w:szCs w:val="24"/>
          <w:rtl/>
        </w:rPr>
        <w:t>מ.</w:t>
      </w:r>
      <w:r w:rsidRPr="00944FC1">
        <w:rPr>
          <w:rFonts w:ascii="David" w:eastAsia="Calibri" w:hAnsi="David" w:cs="David"/>
          <w:sz w:val="24"/>
          <w:szCs w:val="24"/>
          <w:rtl/>
        </w:rPr>
        <w:t xml:space="preserve"> בסכסוך הגירושין (תמליל עמ' 54) כך גם כאשר </w:t>
      </w:r>
      <w:r>
        <w:rPr>
          <w:rFonts w:ascii="David" w:eastAsia="Calibri" w:hAnsi="David" w:cs="David"/>
          <w:sz w:val="24"/>
          <w:szCs w:val="24"/>
          <w:rtl/>
        </w:rPr>
        <w:t>ר.</w:t>
      </w:r>
      <w:r w:rsidRPr="00944FC1">
        <w:rPr>
          <w:rFonts w:ascii="David" w:eastAsia="Calibri" w:hAnsi="David" w:cs="David"/>
          <w:sz w:val="24"/>
          <w:szCs w:val="24"/>
          <w:rtl/>
        </w:rPr>
        <w:t xml:space="preserve"> מנסה לנתב את דברי </w:t>
      </w:r>
      <w:r>
        <w:rPr>
          <w:rFonts w:ascii="David" w:eastAsia="Calibri" w:hAnsi="David" w:cs="David"/>
          <w:sz w:val="24"/>
          <w:szCs w:val="24"/>
          <w:rtl/>
        </w:rPr>
        <w:t>ח.</w:t>
      </w:r>
      <w:r w:rsidRPr="00944FC1">
        <w:rPr>
          <w:rFonts w:ascii="David" w:eastAsia="Calibri" w:hAnsi="David" w:cs="David"/>
          <w:sz w:val="24"/>
          <w:szCs w:val="24"/>
          <w:rtl/>
        </w:rPr>
        <w:t xml:space="preserve"> לפסים מעשיים (עמ' 371-368). אכן, </w:t>
      </w:r>
      <w:r>
        <w:rPr>
          <w:rFonts w:ascii="David" w:eastAsia="Calibri" w:hAnsi="David" w:cs="David"/>
          <w:sz w:val="24"/>
          <w:szCs w:val="24"/>
          <w:rtl/>
        </w:rPr>
        <w:t>ח.</w:t>
      </w:r>
      <w:r w:rsidRPr="00944FC1">
        <w:rPr>
          <w:rFonts w:ascii="David" w:eastAsia="Calibri" w:hAnsi="David" w:cs="David"/>
          <w:sz w:val="24"/>
          <w:szCs w:val="24"/>
          <w:rtl/>
        </w:rPr>
        <w:t xml:space="preserve"> שהיה איש דומיננטי וחזק בהתנהלותו, בולט בשיחה בדיוק כפי שהיה בחייו, אולם אין בכך כדי לשנות מהמסקנה שהתובעים באו לשיחה במטרה מסוימת ובהתאם לה ניווטו את השיחה.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קיים קושי משמעותי לחלץ מתוך השיחה הודאה מפורשת של </w:t>
      </w:r>
      <w:r>
        <w:rPr>
          <w:rFonts w:ascii="David" w:eastAsia="Calibri" w:hAnsi="David" w:cs="David"/>
          <w:sz w:val="24"/>
          <w:szCs w:val="24"/>
          <w:rtl/>
        </w:rPr>
        <w:t>ח.</w:t>
      </w:r>
      <w:r w:rsidRPr="00944FC1">
        <w:rPr>
          <w:rFonts w:ascii="David" w:eastAsia="Calibri" w:hAnsi="David" w:cs="David"/>
          <w:sz w:val="24"/>
          <w:szCs w:val="24"/>
          <w:rtl/>
        </w:rPr>
        <w:t xml:space="preserve"> בזכויות של </w:t>
      </w:r>
      <w:r>
        <w:rPr>
          <w:rFonts w:ascii="David" w:eastAsia="Calibri" w:hAnsi="David" w:cs="David"/>
          <w:sz w:val="24"/>
          <w:szCs w:val="24"/>
          <w:rtl/>
        </w:rPr>
        <w:t>מ.</w:t>
      </w:r>
      <w:r w:rsidRPr="00944FC1">
        <w:rPr>
          <w:rFonts w:ascii="David" w:eastAsia="Calibri" w:hAnsi="David" w:cs="David"/>
          <w:sz w:val="24"/>
          <w:szCs w:val="24"/>
          <w:rtl/>
        </w:rPr>
        <w:t xml:space="preserve">; הוא מדבר בלשון עבר ובלשון הווה, הוא מניח הנחות (נניח ש, נגיד) ועליהן מציב עובדות ומציע הצעות, הוא נע בין נושאים שונים לנכסים שונים, הוא אומר דבר והיפוכו, הוא מדבר בלשון רבים אך לא ברור האם הוא מדבר עליו </w:t>
      </w:r>
      <w:r w:rsidRPr="008C5037">
        <w:rPr>
          <w:rFonts w:ascii="David" w:eastAsia="Calibri" w:hAnsi="David" w:cs="David"/>
          <w:sz w:val="24"/>
          <w:szCs w:val="24"/>
          <w:rtl/>
        </w:rPr>
        <w:t xml:space="preserve">ועל א. או שהוא מכוון לו ולמ. וכיוצא בזה. עוד להתרשמותי, ח. שהוא סוחר ולמד מגיל צעיר מסבא </w:t>
      </w:r>
      <w:r w:rsidR="00402910">
        <w:rPr>
          <w:rFonts w:ascii="David" w:eastAsia="Calibri" w:hAnsi="David" w:cs="David"/>
          <w:sz w:val="24"/>
          <w:szCs w:val="24"/>
          <w:rtl/>
        </w:rPr>
        <w:t>נ'</w:t>
      </w:r>
      <w:r w:rsidRPr="008C5037">
        <w:rPr>
          <w:rFonts w:ascii="David" w:eastAsia="Calibri" w:hAnsi="David" w:cs="David"/>
          <w:sz w:val="24"/>
          <w:szCs w:val="24"/>
          <w:rtl/>
        </w:rPr>
        <w:t xml:space="preserve"> את רזי המשא ומתן, נוהג כמנהגו והולך בשיחה זו סחור סחור. העולה מן המקובץ הוא שלא ניתן לטעמי</w:t>
      </w:r>
      <w:r w:rsidRPr="00944FC1">
        <w:rPr>
          <w:rFonts w:ascii="David" w:eastAsia="Calibri" w:hAnsi="David" w:cs="David"/>
          <w:sz w:val="24"/>
          <w:szCs w:val="24"/>
          <w:rtl/>
        </w:rPr>
        <w:t xml:space="preserve"> לראות בדברים שנאמרו כמספקים בכדי לסתור את הרישום בלשכת רישום המקרקעין, את רישום הזכויות  ברמ"י או את הרישום ברשם החברות.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גם מהימנות ההקלטה מעוררת קושי; ההקלטה מיום 2.8.2011 מסתיימת בשאלה של </w:t>
      </w:r>
      <w:r>
        <w:rPr>
          <w:rFonts w:ascii="David" w:eastAsia="Calibri" w:hAnsi="David" w:cs="David"/>
          <w:sz w:val="24"/>
          <w:szCs w:val="24"/>
          <w:rtl/>
        </w:rPr>
        <w:t>ר.</w:t>
      </w:r>
      <w:r w:rsidRPr="00944FC1">
        <w:rPr>
          <w:rFonts w:ascii="David" w:eastAsia="Calibri" w:hAnsi="David" w:cs="David"/>
          <w:sz w:val="24"/>
          <w:szCs w:val="24"/>
          <w:rtl/>
        </w:rPr>
        <w:t xml:space="preserve"> ל</w:t>
      </w:r>
      <w:r>
        <w:rPr>
          <w:rFonts w:ascii="David" w:eastAsia="Calibri" w:hAnsi="David" w:cs="David"/>
          <w:sz w:val="24"/>
          <w:szCs w:val="24"/>
          <w:rtl/>
        </w:rPr>
        <w:t>מ.</w:t>
      </w:r>
      <w:r w:rsidRPr="00944FC1">
        <w:rPr>
          <w:rFonts w:ascii="David" w:eastAsia="Calibri" w:hAnsi="David" w:cs="David"/>
          <w:sz w:val="24"/>
          <w:szCs w:val="24"/>
          <w:rtl/>
        </w:rPr>
        <w:t xml:space="preserve"> "מה תגיד לו". לא ברור האם בנקודה זו הסתיימה ההקלטה או שיש המשך לשיחה שלא גולה, בעניין זה רב הנסתר על הגלוי וגרסתה של  </w:t>
      </w:r>
      <w:r>
        <w:rPr>
          <w:rFonts w:ascii="David" w:eastAsia="Calibri" w:hAnsi="David" w:cs="David"/>
          <w:sz w:val="24"/>
          <w:szCs w:val="24"/>
          <w:rtl/>
        </w:rPr>
        <w:t>ר.</w:t>
      </w:r>
      <w:r w:rsidRPr="00944FC1">
        <w:rPr>
          <w:rFonts w:ascii="David" w:eastAsia="Calibri" w:hAnsi="David" w:cs="David"/>
          <w:sz w:val="24"/>
          <w:szCs w:val="24"/>
          <w:rtl/>
        </w:rPr>
        <w:t xml:space="preserve"> לא שכנעה אותי.</w:t>
      </w:r>
    </w:p>
    <w:p w:rsidR="00944FC1" w:rsidRPr="00944FC1" w:rsidRDefault="00944FC1" w:rsidP="00944FC1">
      <w:pPr>
        <w:spacing w:after="0" w:line="360" w:lineRule="auto"/>
        <w:ind w:left="215"/>
        <w:contextualSpacing/>
        <w:mirrorIndents/>
        <w:jc w:val="both"/>
        <w:rPr>
          <w:rFonts w:ascii="David" w:eastAsia="Calibri" w:hAnsi="David" w:cs="David"/>
          <w:sz w:val="24"/>
          <w:szCs w:val="24"/>
        </w:rPr>
      </w:pPr>
    </w:p>
    <w:p w:rsidR="00944FC1" w:rsidRPr="00944FC1" w:rsidRDefault="00944FC1" w:rsidP="00402910">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מעבר לכל האמור, </w:t>
      </w:r>
      <w:r>
        <w:rPr>
          <w:rFonts w:ascii="David" w:eastAsia="Calibri" w:hAnsi="David" w:cs="David"/>
          <w:sz w:val="24"/>
          <w:szCs w:val="24"/>
          <w:rtl/>
        </w:rPr>
        <w:t>ח.</w:t>
      </w:r>
      <w:r w:rsidRPr="00944FC1">
        <w:rPr>
          <w:rFonts w:ascii="David" w:eastAsia="Calibri" w:hAnsi="David" w:cs="David"/>
          <w:sz w:val="24"/>
          <w:szCs w:val="24"/>
          <w:rtl/>
        </w:rPr>
        <w:t xml:space="preserve"> הבהיר בשיחה כי הוא הסכים לוויתורים מעל ומעבר וכי כל הוויתורים מותנים בכך שיערך סיכום בכתב וייחתם (תמליל עמ' 312, 372-368). ואכן בסיום הפגישה ערכה ו</w:t>
      </w:r>
      <w:r>
        <w:rPr>
          <w:rFonts w:ascii="David" w:eastAsia="Calibri" w:hAnsi="David" w:cs="David" w:hint="cs"/>
          <w:sz w:val="24"/>
          <w:szCs w:val="24"/>
          <w:rtl/>
        </w:rPr>
        <w:t>.</w:t>
      </w:r>
      <w:r w:rsidRPr="00944FC1">
        <w:rPr>
          <w:rFonts w:ascii="David" w:eastAsia="Calibri" w:hAnsi="David" w:cs="David"/>
          <w:sz w:val="24"/>
          <w:szCs w:val="24"/>
          <w:rtl/>
        </w:rPr>
        <w:t xml:space="preserve"> בתו של </w:t>
      </w:r>
      <w:r>
        <w:rPr>
          <w:rFonts w:ascii="David" w:eastAsia="Calibri" w:hAnsi="David" w:cs="David"/>
          <w:sz w:val="24"/>
          <w:szCs w:val="24"/>
          <w:rtl/>
        </w:rPr>
        <w:t>ח.</w:t>
      </w:r>
      <w:r w:rsidRPr="00944FC1">
        <w:rPr>
          <w:rFonts w:ascii="David" w:eastAsia="Calibri" w:hAnsi="David" w:cs="David"/>
          <w:sz w:val="24"/>
          <w:szCs w:val="24"/>
          <w:rtl/>
        </w:rPr>
        <w:t xml:space="preserve"> סיכום של השיחה לפיו המגרש ברח'</w:t>
      </w:r>
      <w:r w:rsidR="00402910">
        <w:rPr>
          <w:rFonts w:ascii="David" w:eastAsia="Calibri" w:hAnsi="David" w:cs="David" w:hint="cs"/>
          <w:sz w:val="24"/>
          <w:szCs w:val="24"/>
          <w:rtl/>
        </w:rPr>
        <w:t xml:space="preserve"> ס' </w:t>
      </w:r>
      <w:r w:rsidRPr="00944FC1">
        <w:rPr>
          <w:rFonts w:ascii="David" w:eastAsia="Calibri" w:hAnsi="David" w:cs="David"/>
          <w:sz w:val="24"/>
          <w:szCs w:val="24"/>
          <w:rtl/>
        </w:rPr>
        <w:t xml:space="preserve">, הבית בלוחמי הגטאות וזכויות דיור מוגן בחנות בדרך העצמאות יחולקו בחלקים שווים בין </w:t>
      </w:r>
      <w:r>
        <w:rPr>
          <w:rFonts w:ascii="David" w:eastAsia="Calibri" w:hAnsi="David" w:cs="David"/>
          <w:sz w:val="24"/>
          <w:szCs w:val="24"/>
          <w:rtl/>
        </w:rPr>
        <w:t>ח.</w:t>
      </w:r>
      <w:r w:rsidRPr="00944FC1">
        <w:rPr>
          <w:rFonts w:ascii="David" w:eastAsia="Calibri" w:hAnsi="David" w:cs="David"/>
          <w:sz w:val="24"/>
          <w:szCs w:val="24"/>
          <w:rtl/>
        </w:rPr>
        <w:t xml:space="preserve"> ל</w:t>
      </w:r>
      <w:r>
        <w:rPr>
          <w:rFonts w:ascii="David" w:eastAsia="Calibri" w:hAnsi="David" w:cs="David"/>
          <w:sz w:val="24"/>
          <w:szCs w:val="24"/>
          <w:rtl/>
        </w:rPr>
        <w:t>מ.</w:t>
      </w:r>
      <w:r w:rsidRPr="00944FC1">
        <w:rPr>
          <w:rFonts w:ascii="David" w:eastAsia="Calibri" w:hAnsi="David" w:cs="David"/>
          <w:sz w:val="24"/>
          <w:szCs w:val="24"/>
          <w:rtl/>
        </w:rPr>
        <w:t xml:space="preserve">, ובנוסף יועברו לו 40% ממניות החברה. החנות תישאר בבעלות </w:t>
      </w:r>
      <w:r>
        <w:rPr>
          <w:rFonts w:ascii="David" w:eastAsia="Calibri" w:hAnsi="David" w:cs="David"/>
          <w:sz w:val="24"/>
          <w:szCs w:val="24"/>
          <w:rtl/>
        </w:rPr>
        <w:t>ח.</w:t>
      </w:r>
      <w:r w:rsidRPr="00944FC1">
        <w:rPr>
          <w:rFonts w:ascii="David" w:eastAsia="Calibri" w:hAnsi="David" w:cs="David"/>
          <w:sz w:val="24"/>
          <w:szCs w:val="24"/>
          <w:rtl/>
        </w:rPr>
        <w:t xml:space="preserve">. עוד נקבע בסיכום זה כי הצדדים יאשרו את הסיכום ושלא תהינה תביעות כספיות למי מהם. הסיכום לא אושר, הניצים לא חתמו עליו, </w:t>
      </w:r>
      <w:r>
        <w:rPr>
          <w:rFonts w:ascii="David" w:eastAsia="Calibri" w:hAnsi="David" w:cs="David"/>
          <w:sz w:val="24"/>
          <w:szCs w:val="24"/>
          <w:rtl/>
        </w:rPr>
        <w:t>מ.</w:t>
      </w:r>
      <w:r w:rsidRPr="00944FC1">
        <w:rPr>
          <w:rFonts w:ascii="David" w:eastAsia="Calibri" w:hAnsi="David" w:cs="David"/>
          <w:sz w:val="24"/>
          <w:szCs w:val="24"/>
          <w:rtl/>
        </w:rPr>
        <w:t xml:space="preserve"> גם לא פנה לעורך דין </w:t>
      </w:r>
      <w:r w:rsidRPr="00944FC1">
        <w:rPr>
          <w:rFonts w:ascii="David" w:eastAsia="Calibri" w:hAnsi="David" w:cs="David"/>
          <w:sz w:val="24"/>
          <w:szCs w:val="24"/>
          <w:rtl/>
        </w:rPr>
        <w:lastRenderedPageBreak/>
        <w:t xml:space="preserve">כדי לתקף את הסיכום. איש מהתובעים לא הצליח להסביר בחקירתו מדוע </w:t>
      </w:r>
      <w:r>
        <w:rPr>
          <w:rFonts w:ascii="David" w:eastAsia="Calibri" w:hAnsi="David" w:cs="David"/>
          <w:sz w:val="24"/>
          <w:szCs w:val="24"/>
          <w:rtl/>
        </w:rPr>
        <w:t>מ.</w:t>
      </w:r>
      <w:r w:rsidRPr="00944FC1">
        <w:rPr>
          <w:rFonts w:ascii="David" w:eastAsia="Calibri" w:hAnsi="David" w:cs="David"/>
          <w:sz w:val="24"/>
          <w:szCs w:val="24"/>
          <w:rtl/>
        </w:rPr>
        <w:t xml:space="preserve"> לא פנה לעורך דין. </w:t>
      </w:r>
      <w:r>
        <w:rPr>
          <w:rFonts w:ascii="David" w:eastAsia="Calibri" w:hAnsi="David" w:cs="David"/>
          <w:sz w:val="24"/>
          <w:szCs w:val="24"/>
          <w:rtl/>
        </w:rPr>
        <w:t>ש.</w:t>
      </w:r>
      <w:r w:rsidRPr="00944FC1">
        <w:rPr>
          <w:rFonts w:ascii="David" w:eastAsia="Calibri" w:hAnsi="David" w:cs="David"/>
          <w:sz w:val="24"/>
          <w:szCs w:val="24"/>
          <w:rtl/>
        </w:rPr>
        <w:t xml:space="preserve"> העיד שהם יצאו מהפגישה "בהרגשה טובה שיש תבנית ומסגרת לפגישה המשפחתית" (פרוטוקול עמ' 256) והשאלה מדוע </w:t>
      </w:r>
      <w:r>
        <w:rPr>
          <w:rFonts w:ascii="David" w:eastAsia="Calibri" w:hAnsi="David" w:cs="David"/>
          <w:sz w:val="24"/>
          <w:szCs w:val="24"/>
          <w:rtl/>
        </w:rPr>
        <w:t>מ.</w:t>
      </w:r>
      <w:r w:rsidRPr="00944FC1">
        <w:rPr>
          <w:rFonts w:ascii="David" w:eastAsia="Calibri" w:hAnsi="David" w:cs="David"/>
          <w:sz w:val="24"/>
          <w:szCs w:val="24"/>
          <w:rtl/>
        </w:rPr>
        <w:t xml:space="preserve"> לא חתם על הסיכום נותרה ללא מענה. כל ההסכמות של </w:t>
      </w:r>
      <w:r>
        <w:rPr>
          <w:rFonts w:ascii="David" w:eastAsia="Calibri" w:hAnsi="David" w:cs="David"/>
          <w:sz w:val="24"/>
          <w:szCs w:val="24"/>
          <w:rtl/>
        </w:rPr>
        <w:t>ח.</w:t>
      </w:r>
      <w:r w:rsidRPr="00944FC1">
        <w:rPr>
          <w:rFonts w:ascii="David" w:eastAsia="Calibri" w:hAnsi="David" w:cs="David"/>
          <w:sz w:val="24"/>
          <w:szCs w:val="24"/>
          <w:rtl/>
        </w:rPr>
        <w:t xml:space="preserve"> בשיחה בקשר לנכסים הותנו בחתימה על סיכום. </w:t>
      </w:r>
      <w:r>
        <w:rPr>
          <w:rFonts w:ascii="David" w:eastAsia="Calibri" w:hAnsi="David" w:cs="David"/>
          <w:sz w:val="24"/>
          <w:szCs w:val="24"/>
          <w:rtl/>
        </w:rPr>
        <w:t>ח.</w:t>
      </w:r>
      <w:r w:rsidRPr="00944FC1">
        <w:rPr>
          <w:rFonts w:ascii="David" w:eastAsia="Calibri" w:hAnsi="David" w:cs="David"/>
          <w:sz w:val="24"/>
          <w:szCs w:val="24"/>
          <w:rtl/>
        </w:rPr>
        <w:t xml:space="preserve"> העלה את הדברים על הכתב ומשעה ש</w:t>
      </w:r>
      <w:r>
        <w:rPr>
          <w:rFonts w:ascii="David" w:eastAsia="Calibri" w:hAnsi="David" w:cs="David"/>
          <w:sz w:val="24"/>
          <w:szCs w:val="24"/>
          <w:rtl/>
        </w:rPr>
        <w:t>מ.</w:t>
      </w:r>
      <w:r w:rsidRPr="00944FC1">
        <w:rPr>
          <w:rFonts w:ascii="David" w:eastAsia="Calibri" w:hAnsi="David" w:cs="David"/>
          <w:sz w:val="24"/>
          <w:szCs w:val="24"/>
          <w:rtl/>
        </w:rPr>
        <w:t xml:space="preserve"> בחר שלא לחתום על הסיכום אין תוקף לכל האמירות שבשיחה.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לאור כל האמור איני סבורה שהקלטות השיחות מהוות ראיה משמעותית ובעלת משקל להוכחת התחייבות של </w:t>
      </w:r>
      <w:r>
        <w:rPr>
          <w:rFonts w:ascii="David" w:eastAsia="Calibri" w:hAnsi="David" w:cs="David"/>
          <w:sz w:val="24"/>
          <w:szCs w:val="24"/>
          <w:rtl/>
        </w:rPr>
        <w:t>ח.</w:t>
      </w:r>
      <w:r w:rsidRPr="00944FC1">
        <w:rPr>
          <w:rFonts w:ascii="David" w:eastAsia="Calibri" w:hAnsi="David" w:cs="David"/>
          <w:sz w:val="24"/>
          <w:szCs w:val="24"/>
          <w:rtl/>
        </w:rPr>
        <w:t xml:space="preserve"> כלפי </w:t>
      </w:r>
      <w:r>
        <w:rPr>
          <w:rFonts w:ascii="David" w:eastAsia="Calibri" w:hAnsi="David" w:cs="David"/>
          <w:sz w:val="24"/>
          <w:szCs w:val="24"/>
          <w:rtl/>
        </w:rPr>
        <w:t>מ.</w:t>
      </w:r>
      <w:r w:rsidRPr="00944FC1">
        <w:rPr>
          <w:rFonts w:ascii="David" w:eastAsia="Calibri" w:hAnsi="David" w:cs="David"/>
          <w:sz w:val="24"/>
          <w:szCs w:val="24"/>
          <w:rtl/>
        </w:rPr>
        <w:t xml:space="preserve"> או להודאה בזכויותיו, זאת נוכח סימני שאלה העולים מההקלטות ומתוכנן, ונוכח אומד דעתו של </w:t>
      </w:r>
      <w:r>
        <w:rPr>
          <w:rFonts w:ascii="David" w:eastAsia="Calibri" w:hAnsi="David" w:cs="David"/>
          <w:sz w:val="24"/>
          <w:szCs w:val="24"/>
          <w:rtl/>
        </w:rPr>
        <w:t>ח.</w:t>
      </w:r>
      <w:r w:rsidRPr="00944FC1">
        <w:rPr>
          <w:rFonts w:ascii="David" w:eastAsia="Calibri" w:hAnsi="David" w:cs="David"/>
          <w:sz w:val="24"/>
          <w:szCs w:val="24"/>
          <w:rtl/>
        </w:rPr>
        <w:t xml:space="preserve"> שחזר על עמדתו שאם לא יערך הסכם בכתב אין תוקף לסיכומים שהתגבשו באותה פגישה.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b/>
          <w:bCs/>
          <w:sz w:val="24"/>
          <w:szCs w:val="24"/>
          <w:rtl/>
        </w:rPr>
        <w:t>הטענה לקיומה של נאמנות</w:t>
      </w:r>
      <w:r w:rsidRPr="00944FC1">
        <w:rPr>
          <w:rFonts w:ascii="David" w:eastAsia="Calibri" w:hAnsi="David" w:cs="David"/>
          <w:sz w:val="24"/>
          <w:szCs w:val="24"/>
          <w:rtl/>
        </w:rPr>
        <w:t xml:space="preserve"> - לטענת התובעים בין האחים המנוחים שררו יחסי אמון מיוחדים, אשר חרגו מיחסים רגילים בין אחים. יחסים אלו באו לידי ביטוי בניהול משותף של עסקים ונכסים, תוך הסתמכות הדדית ואמון מלא. התובעים טוענים כי האחים המנוחים ראו עצמם כיחידה כלכלית אחת, תוך שהם משתפים פעולה בכל היבט עסקי בחייהם. בין האחים היו הסכמות והבנות בעל פה, לפיהן הנכסים והעסקים השונים, ובכללם הנכס בדרך העצמאות, שייכים לשניהם במשותף, גם אם נרשמו באופן פורמלי על שם אחד מהם בלבד. הסכמות אלו נבעו מהאמון ההדדי ששרר בין האחים ומהרצון לנהל את ענייניהם בצורה יעילה ופשוטה, מבלי להיזקק לרישומים פורמליים מסורבלים</w:t>
      </w:r>
      <w:r w:rsidRPr="00944FC1">
        <w:rPr>
          <w:rFonts w:ascii="David" w:eastAsia="Calibri" w:hAnsi="David" w:cs="David"/>
          <w:sz w:val="24"/>
          <w:szCs w:val="24"/>
        </w:rPr>
        <w:t>.</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סעיף 2 בחוק הנאמנות התשל"ט -1979 קובע כי "</w:t>
      </w:r>
      <w:r w:rsidRPr="00944FC1">
        <w:rPr>
          <w:rFonts w:ascii="David" w:eastAsia="Calibri" w:hAnsi="David" w:cs="David"/>
          <w:b/>
          <w:bCs/>
          <w:sz w:val="24"/>
          <w:szCs w:val="24"/>
          <w:rtl/>
        </w:rPr>
        <w:t>נאמנות נוצרת על פי חוק, על פי חוזה עם נאמן או על פי כתב הקדש</w:t>
      </w:r>
      <w:r w:rsidRPr="00944FC1">
        <w:rPr>
          <w:rFonts w:ascii="David" w:eastAsia="Calibri" w:hAnsi="David" w:cs="David"/>
          <w:sz w:val="24"/>
          <w:szCs w:val="24"/>
          <w:rtl/>
        </w:rPr>
        <w:t>". החוזה עם הנאמן אינו טעון מסמך בכתב גם במקום בו הנאמנות קשורה ברכישת נכס מקרקעין על-ידי הנאמן עבור הנהנה ורישומו על שם הנאמן</w:t>
      </w:r>
      <w:r w:rsidRPr="00944FC1">
        <w:rPr>
          <w:rFonts w:ascii="David" w:eastAsia="Calibri" w:hAnsi="David" w:cs="David"/>
          <w:sz w:val="24"/>
          <w:szCs w:val="24"/>
        </w:rPr>
        <w:t>)</w:t>
      </w:r>
      <w:r w:rsidRPr="00944FC1">
        <w:rPr>
          <w:rFonts w:ascii="David" w:eastAsia="Calibri" w:hAnsi="David" w:cs="David"/>
          <w:b/>
          <w:bCs/>
          <w:sz w:val="24"/>
          <w:szCs w:val="24"/>
        </w:rPr>
        <w:t xml:space="preserve"> </w:t>
      </w:r>
      <w:r w:rsidRPr="00944FC1">
        <w:rPr>
          <w:rFonts w:ascii="David" w:eastAsia="Calibri" w:hAnsi="David" w:cs="David"/>
          <w:sz w:val="24"/>
          <w:szCs w:val="24"/>
          <w:rtl/>
        </w:rPr>
        <w:t xml:space="preserve">ע"א 8168/09 </w:t>
      </w:r>
      <w:r w:rsidRPr="00944FC1">
        <w:rPr>
          <w:rFonts w:ascii="David" w:eastAsia="Calibri" w:hAnsi="David" w:cs="David"/>
          <w:b/>
          <w:bCs/>
          <w:sz w:val="24"/>
          <w:szCs w:val="24"/>
          <w:rtl/>
        </w:rPr>
        <w:t xml:space="preserve">‏ ועד חברת עולי </w:t>
      </w:r>
      <w:r>
        <w:rPr>
          <w:rFonts w:ascii="David" w:eastAsia="Calibri" w:hAnsi="David" w:cs="David"/>
          <w:b/>
          <w:bCs/>
          <w:sz w:val="24"/>
          <w:szCs w:val="24"/>
          <w:rtl/>
        </w:rPr>
        <w:t>מ.</w:t>
      </w:r>
      <w:r w:rsidRPr="00944FC1">
        <w:rPr>
          <w:rFonts w:ascii="David" w:eastAsia="Calibri" w:hAnsi="David" w:cs="David"/>
          <w:b/>
          <w:bCs/>
          <w:sz w:val="24"/>
          <w:szCs w:val="24"/>
          <w:rtl/>
        </w:rPr>
        <w:t xml:space="preserve">ד (אירן) ירושלים נ' הועד המרכזי לעולי (אנוסי) </w:t>
      </w:r>
      <w:r>
        <w:rPr>
          <w:rFonts w:ascii="David" w:eastAsia="Calibri" w:hAnsi="David" w:cs="David"/>
          <w:b/>
          <w:bCs/>
          <w:sz w:val="24"/>
          <w:szCs w:val="24"/>
          <w:rtl/>
        </w:rPr>
        <w:t>מ.</w:t>
      </w:r>
      <w:r w:rsidRPr="00944FC1">
        <w:rPr>
          <w:rFonts w:ascii="David" w:eastAsia="Calibri" w:hAnsi="David" w:cs="David"/>
          <w:b/>
          <w:bCs/>
          <w:sz w:val="24"/>
          <w:szCs w:val="24"/>
          <w:rtl/>
        </w:rPr>
        <w:t>ד אירן בישראל</w:t>
      </w:r>
      <w:r w:rsidRPr="00944FC1">
        <w:rPr>
          <w:rFonts w:ascii="David" w:eastAsia="Calibri" w:hAnsi="David" w:cs="David"/>
          <w:sz w:val="24"/>
          <w:szCs w:val="24"/>
        </w:rPr>
        <w:t> .((23.10.2012) </w:t>
      </w:r>
    </w:p>
    <w:p w:rsidR="00944FC1" w:rsidRPr="00944FC1" w:rsidRDefault="00944FC1" w:rsidP="00944FC1">
      <w:pPr>
        <w:spacing w:after="0" w:line="360" w:lineRule="auto"/>
        <w:ind w:left="720"/>
        <w:contextualSpacing/>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הנטל על התובעים להוכיח קיומה של נאמנות. התובעים לא עמדו בנטל זה. על אף שכאמור אין צורך במסמך בכתב לכינונה של נאמנות, הרי שאין בנמצא מסמכים המעגנים טענה זו כדוגמת דיווחים למס הכנסה, התכתבויות בין הצדדים וכיוצא בזה. התובעים מנסים להציג את אביהם כאדם נגרר, חלש וחסר ביטחון, ואת </w:t>
      </w:r>
      <w:r>
        <w:rPr>
          <w:rFonts w:ascii="David" w:eastAsia="Calibri" w:hAnsi="David" w:cs="David"/>
          <w:sz w:val="24"/>
          <w:szCs w:val="24"/>
          <w:rtl/>
        </w:rPr>
        <w:t>ח.</w:t>
      </w:r>
      <w:r w:rsidRPr="00944FC1">
        <w:rPr>
          <w:rFonts w:ascii="David" w:eastAsia="Calibri" w:hAnsi="David" w:cs="David"/>
          <w:sz w:val="24"/>
          <w:szCs w:val="24"/>
          <w:rtl/>
        </w:rPr>
        <w:t xml:space="preserve"> כ"חזק ודומיננטי. פיקח כשד. חד מחשבה וחד לשון. כמי שניחן בחוש מפותח לעסקים" וכמי שניהל ביד רמה את עסקיו. דווקא תיאור זה אינו מתיישב עם כך ש</w:t>
      </w:r>
      <w:r>
        <w:rPr>
          <w:rFonts w:ascii="David" w:eastAsia="Calibri" w:hAnsi="David" w:cs="David"/>
          <w:sz w:val="24"/>
          <w:szCs w:val="24"/>
          <w:rtl/>
        </w:rPr>
        <w:t>ח.</w:t>
      </w:r>
      <w:r w:rsidRPr="00944FC1">
        <w:rPr>
          <w:rFonts w:ascii="David" w:eastAsia="Calibri" w:hAnsi="David" w:cs="David"/>
          <w:sz w:val="24"/>
          <w:szCs w:val="24"/>
          <w:rtl/>
        </w:rPr>
        <w:t xml:space="preserve"> נשא ממקורותיו בכל הוצאות הנכסים ובהוצאות המיסים מבלי שידרוש מ</w:t>
      </w:r>
      <w:r>
        <w:rPr>
          <w:rFonts w:ascii="David" w:eastAsia="Calibri" w:hAnsi="David" w:cs="David"/>
          <w:sz w:val="24"/>
          <w:szCs w:val="24"/>
          <w:rtl/>
        </w:rPr>
        <w:t>מ.</w:t>
      </w:r>
      <w:r w:rsidRPr="00944FC1">
        <w:rPr>
          <w:rFonts w:ascii="David" w:eastAsia="Calibri" w:hAnsi="David" w:cs="David"/>
          <w:sz w:val="24"/>
          <w:szCs w:val="24"/>
          <w:rtl/>
        </w:rPr>
        <w:t xml:space="preserve"> לשלם את חלקו. גם התנהלות האחים לאורך השנים אינה תומכת בקיומה של נאמנות. </w:t>
      </w:r>
      <w:r>
        <w:rPr>
          <w:rFonts w:ascii="David" w:eastAsia="Calibri" w:hAnsi="David" w:cs="David"/>
          <w:sz w:val="24"/>
          <w:szCs w:val="24"/>
          <w:rtl/>
        </w:rPr>
        <w:t>ח.</w:t>
      </w:r>
      <w:r w:rsidRPr="00944FC1">
        <w:rPr>
          <w:rFonts w:ascii="David" w:eastAsia="Calibri" w:hAnsi="David" w:cs="David"/>
          <w:sz w:val="24"/>
          <w:szCs w:val="24"/>
          <w:rtl/>
        </w:rPr>
        <w:t xml:space="preserve"> רכש את הנכסים מכספו והם נרשמו על שמו. </w:t>
      </w:r>
      <w:r>
        <w:rPr>
          <w:rFonts w:ascii="David" w:eastAsia="Calibri" w:hAnsi="David" w:cs="David"/>
          <w:sz w:val="24"/>
          <w:szCs w:val="24"/>
          <w:rtl/>
        </w:rPr>
        <w:t>ח.</w:t>
      </w:r>
      <w:r w:rsidRPr="00944FC1">
        <w:rPr>
          <w:rFonts w:ascii="David" w:eastAsia="Calibri" w:hAnsi="David" w:cs="David"/>
          <w:sz w:val="24"/>
          <w:szCs w:val="24"/>
          <w:rtl/>
        </w:rPr>
        <w:t xml:space="preserve"> ניהל את הנכסים כבעלים לכל דבר ועניין, כאשר </w:t>
      </w:r>
      <w:r>
        <w:rPr>
          <w:rFonts w:ascii="David" w:eastAsia="Calibri" w:hAnsi="David" w:cs="David"/>
          <w:sz w:val="24"/>
          <w:szCs w:val="24"/>
          <w:rtl/>
        </w:rPr>
        <w:t>מ.</w:t>
      </w:r>
      <w:r w:rsidRPr="00944FC1">
        <w:rPr>
          <w:rFonts w:ascii="David" w:eastAsia="Calibri" w:hAnsi="David" w:cs="David"/>
          <w:sz w:val="24"/>
          <w:szCs w:val="24"/>
          <w:rtl/>
        </w:rPr>
        <w:t xml:space="preserve"> לא </w:t>
      </w:r>
      <w:r w:rsidRPr="00944FC1">
        <w:rPr>
          <w:rFonts w:ascii="David" w:eastAsia="Calibri" w:hAnsi="David" w:cs="David"/>
          <w:sz w:val="24"/>
          <w:szCs w:val="24"/>
          <w:rtl/>
        </w:rPr>
        <w:lastRenderedPageBreak/>
        <w:t xml:space="preserve">התערב בניהולם ולא דרש זכויות בהם. </w:t>
      </w:r>
      <w:r>
        <w:rPr>
          <w:rFonts w:ascii="David" w:eastAsia="Calibri" w:hAnsi="David" w:cs="David"/>
          <w:sz w:val="24"/>
          <w:szCs w:val="24"/>
          <w:rtl/>
        </w:rPr>
        <w:t>מ.</w:t>
      </w:r>
      <w:r w:rsidRPr="00944FC1">
        <w:rPr>
          <w:rFonts w:ascii="David" w:eastAsia="Calibri" w:hAnsi="David" w:cs="David"/>
          <w:sz w:val="24"/>
          <w:szCs w:val="24"/>
          <w:rtl/>
        </w:rPr>
        <w:t xml:space="preserve"> לא דרש או טען לקבלת חלק כלשהו בהכנסות מהנכסים השונים, ולא דרש להשתמש בהם בעצמו דבר שאינו עולה בקנה אחד עם הנאמנות הנטענת. כאמור בשנות התשעים הוקם בנכס בדרך העצמאות מבנה משרדים וקשה להלום את שתיקתו של </w:t>
      </w:r>
      <w:r>
        <w:rPr>
          <w:rFonts w:ascii="David" w:eastAsia="Calibri" w:hAnsi="David" w:cs="David"/>
          <w:sz w:val="24"/>
          <w:szCs w:val="24"/>
          <w:rtl/>
        </w:rPr>
        <w:t>מ.</w:t>
      </w:r>
      <w:r w:rsidRPr="00944FC1">
        <w:rPr>
          <w:rFonts w:ascii="David" w:eastAsia="Calibri" w:hAnsi="David" w:cs="David"/>
          <w:sz w:val="24"/>
          <w:szCs w:val="24"/>
          <w:rtl/>
        </w:rPr>
        <w:t xml:space="preserve"> שלא תבע את דמי השכירות בקשר למשרדים אלו לאורך השנים. גם לאחר כישלון הפגישה המשפחתית ואף שבמהלכה </w:t>
      </w:r>
      <w:r>
        <w:rPr>
          <w:rFonts w:ascii="David" w:eastAsia="Calibri" w:hAnsi="David" w:cs="David"/>
          <w:sz w:val="24"/>
          <w:szCs w:val="24"/>
          <w:rtl/>
        </w:rPr>
        <w:t>מ.</w:t>
      </w:r>
      <w:r w:rsidRPr="00944FC1">
        <w:rPr>
          <w:rFonts w:ascii="David" w:eastAsia="Calibri" w:hAnsi="David" w:cs="David"/>
          <w:sz w:val="24"/>
          <w:szCs w:val="24"/>
          <w:rtl/>
        </w:rPr>
        <w:t xml:space="preserve"> הטיח דברים קשים ב</w:t>
      </w:r>
      <w:r>
        <w:rPr>
          <w:rFonts w:ascii="David" w:eastAsia="Calibri" w:hAnsi="David" w:cs="David"/>
          <w:sz w:val="24"/>
          <w:szCs w:val="24"/>
          <w:rtl/>
        </w:rPr>
        <w:t>ח.</w:t>
      </w:r>
      <w:r w:rsidRPr="00944FC1">
        <w:rPr>
          <w:rFonts w:ascii="David" w:eastAsia="Calibri" w:hAnsi="David" w:cs="David"/>
          <w:sz w:val="24"/>
          <w:szCs w:val="24"/>
          <w:rtl/>
        </w:rPr>
        <w:t xml:space="preserve">, </w:t>
      </w:r>
      <w:r>
        <w:rPr>
          <w:rFonts w:ascii="David" w:eastAsia="Calibri" w:hAnsi="David" w:cs="David"/>
          <w:sz w:val="24"/>
          <w:szCs w:val="24"/>
          <w:rtl/>
        </w:rPr>
        <w:t>מ.</w:t>
      </w:r>
      <w:r w:rsidRPr="00944FC1">
        <w:rPr>
          <w:rFonts w:ascii="David" w:eastAsia="Calibri" w:hAnsi="David" w:cs="David"/>
          <w:sz w:val="24"/>
          <w:szCs w:val="24"/>
          <w:rtl/>
        </w:rPr>
        <w:t xml:space="preserve"> לא הגיש תביעה וגם לא דיווח על הנכסים השייכים לו, לשיטת התובעים, בהצהרות שהגיש למס הכנסה. </w:t>
      </w:r>
    </w:p>
    <w:p w:rsidR="00944FC1" w:rsidRPr="00944FC1" w:rsidRDefault="00944FC1" w:rsidP="00944FC1">
      <w:pPr>
        <w:spacing w:after="0" w:line="360" w:lineRule="auto"/>
        <w:ind w:left="501"/>
        <w:contextualSpacing/>
        <w:jc w:val="both"/>
        <w:rPr>
          <w:rFonts w:ascii="David" w:eastAsia="Calibri" w:hAnsi="David" w:cs="David"/>
          <w:sz w:val="24"/>
          <w:szCs w:val="24"/>
          <w:rtl/>
        </w:rPr>
      </w:pPr>
    </w:p>
    <w:p w:rsidR="00944FC1" w:rsidRPr="00944FC1" w:rsidRDefault="00944FC1" w:rsidP="003463A9">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בעניין זה יש לתת משקל רב להצהרותיו של </w:t>
      </w:r>
      <w:r>
        <w:rPr>
          <w:rFonts w:ascii="David" w:eastAsia="Calibri" w:hAnsi="David" w:cs="David"/>
          <w:sz w:val="24"/>
          <w:szCs w:val="24"/>
          <w:rtl/>
        </w:rPr>
        <w:t>מ.</w:t>
      </w:r>
      <w:r w:rsidRPr="00944FC1">
        <w:rPr>
          <w:rFonts w:ascii="David" w:eastAsia="Calibri" w:hAnsi="David" w:cs="David"/>
          <w:sz w:val="24"/>
          <w:szCs w:val="24"/>
          <w:rtl/>
        </w:rPr>
        <w:t xml:space="preserve"> בתביעה הרכושית. בכתב ההגנה שהגיש ואשר אומת בתצהיר, טען </w:t>
      </w:r>
      <w:r>
        <w:rPr>
          <w:rFonts w:ascii="David" w:eastAsia="Calibri" w:hAnsi="David" w:cs="David"/>
          <w:sz w:val="24"/>
          <w:szCs w:val="24"/>
          <w:rtl/>
        </w:rPr>
        <w:t>מ.</w:t>
      </w:r>
      <w:r w:rsidRPr="00944FC1">
        <w:rPr>
          <w:rFonts w:ascii="David" w:eastAsia="Calibri" w:hAnsi="David" w:cs="David"/>
          <w:sz w:val="24"/>
          <w:szCs w:val="24"/>
          <w:rtl/>
        </w:rPr>
        <w:t xml:space="preserve"> במפורש כי אין לו כל זכויות בחלק מהנכסים נשוא התביעה הנוכחית, למעט חלקו בשותפות ח.מ.</w:t>
      </w:r>
      <w:r w:rsidR="003463A9">
        <w:rPr>
          <w:rFonts w:ascii="David" w:eastAsia="Calibri" w:hAnsi="David" w:cs="David" w:hint="cs"/>
          <w:sz w:val="24"/>
          <w:szCs w:val="24"/>
          <w:rtl/>
        </w:rPr>
        <w:t>מ</w:t>
      </w:r>
      <w:r w:rsidRPr="00944FC1">
        <w:rPr>
          <w:rFonts w:ascii="David" w:eastAsia="Calibri" w:hAnsi="David" w:cs="David"/>
          <w:sz w:val="24"/>
          <w:szCs w:val="24"/>
          <w:rtl/>
        </w:rPr>
        <w:t xml:space="preserve">. יתרה מזאת, </w:t>
      </w:r>
      <w:r>
        <w:rPr>
          <w:rFonts w:ascii="David" w:eastAsia="Calibri" w:hAnsi="David" w:cs="David"/>
          <w:sz w:val="24"/>
          <w:szCs w:val="24"/>
          <w:rtl/>
        </w:rPr>
        <w:t>מ.</w:t>
      </w:r>
      <w:r w:rsidRPr="00944FC1">
        <w:rPr>
          <w:rFonts w:ascii="David" w:eastAsia="Calibri" w:hAnsi="David" w:cs="David"/>
          <w:sz w:val="24"/>
          <w:szCs w:val="24"/>
          <w:rtl/>
        </w:rPr>
        <w:t xml:space="preserve"> הבהיר כי </w:t>
      </w:r>
      <w:r>
        <w:rPr>
          <w:rFonts w:ascii="David" w:eastAsia="Calibri" w:hAnsi="David" w:cs="David"/>
          <w:sz w:val="24"/>
          <w:szCs w:val="24"/>
          <w:rtl/>
        </w:rPr>
        <w:t>ח.</w:t>
      </w:r>
      <w:r w:rsidRPr="00944FC1">
        <w:rPr>
          <w:rFonts w:ascii="David" w:eastAsia="Calibri" w:hAnsi="David" w:cs="David"/>
          <w:sz w:val="24"/>
          <w:szCs w:val="24"/>
          <w:rtl/>
        </w:rPr>
        <w:t xml:space="preserve"> צבר כספים ונכסים בהיקף רב, וכי פרטי הרכוש נושא התביעה שייכים ל</w:t>
      </w:r>
      <w:r>
        <w:rPr>
          <w:rFonts w:ascii="David" w:eastAsia="Calibri" w:hAnsi="David" w:cs="David"/>
          <w:sz w:val="24"/>
          <w:szCs w:val="24"/>
          <w:rtl/>
        </w:rPr>
        <w:t>ח.</w:t>
      </w:r>
      <w:r w:rsidRPr="00944FC1">
        <w:rPr>
          <w:rFonts w:ascii="David" w:eastAsia="Calibri" w:hAnsi="David" w:cs="David"/>
          <w:sz w:val="24"/>
          <w:szCs w:val="24"/>
          <w:rtl/>
        </w:rPr>
        <w:t xml:space="preserve"> בלבד. הצהרות אלה עומדות בסתירה מוחלטת לטענת הנאמנות.</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גם הקלטות </w:t>
      </w:r>
      <w:r w:rsidRPr="00944FC1">
        <w:rPr>
          <w:rFonts w:ascii="David" w:eastAsia="Calibri" w:hAnsi="David" w:cs="David" w:hint="cs"/>
          <w:sz w:val="24"/>
          <w:szCs w:val="24"/>
          <w:rtl/>
        </w:rPr>
        <w:t xml:space="preserve">הפגישות המשפחתיות </w:t>
      </w:r>
      <w:r w:rsidRPr="00944FC1">
        <w:rPr>
          <w:rFonts w:ascii="David" w:eastAsia="Calibri" w:hAnsi="David" w:cs="David"/>
          <w:sz w:val="24"/>
          <w:szCs w:val="24"/>
          <w:rtl/>
        </w:rPr>
        <w:t xml:space="preserve">שהתובעים מבקשים להתבסס עליהן אינן מהוות ראיה מספיקה לקיומה של נאמנות. תמלילי ההקלטות מעידים על כך שמדובר בהבטחות כלליות ועתידיות של </w:t>
      </w:r>
      <w:r>
        <w:rPr>
          <w:rFonts w:ascii="David" w:eastAsia="Calibri" w:hAnsi="David" w:cs="David"/>
          <w:sz w:val="24"/>
          <w:szCs w:val="24"/>
          <w:rtl/>
        </w:rPr>
        <w:t>ח.</w:t>
      </w:r>
      <w:r w:rsidRPr="00944FC1">
        <w:rPr>
          <w:rFonts w:ascii="David" w:eastAsia="Calibri" w:hAnsi="David" w:cs="David"/>
          <w:sz w:val="24"/>
          <w:szCs w:val="24"/>
          <w:rtl/>
        </w:rPr>
        <w:t xml:space="preserve"> להעביר חלק מהזכויות שכאמור לא התגבשו לידי הסכם מחייב, ואין בהן שיח בדבר קיומה של נאמנות</w:t>
      </w:r>
      <w:r w:rsidRPr="00944FC1">
        <w:rPr>
          <w:rFonts w:ascii="David" w:eastAsia="Calibri" w:hAnsi="David" w:cs="David" w:hint="cs"/>
          <w:sz w:val="24"/>
          <w:szCs w:val="24"/>
          <w:rtl/>
        </w:rPr>
        <w:t xml:space="preserve"> ארוכת שנים</w:t>
      </w:r>
      <w:r w:rsidRPr="00944FC1">
        <w:rPr>
          <w:rFonts w:ascii="David" w:eastAsia="Calibri" w:hAnsi="David" w:cs="David"/>
          <w:sz w:val="24"/>
          <w:szCs w:val="24"/>
          <w:rtl/>
        </w:rPr>
        <w:t xml:space="preserve">. כאמור התובעים התייצבו לשיחה זו במטרה לתעד את הדברים שישמיע </w:t>
      </w:r>
      <w:r>
        <w:rPr>
          <w:rFonts w:ascii="David" w:eastAsia="Calibri" w:hAnsi="David" w:cs="David"/>
          <w:sz w:val="24"/>
          <w:szCs w:val="24"/>
          <w:rtl/>
        </w:rPr>
        <w:t>ח.</w:t>
      </w:r>
      <w:r w:rsidRPr="00944FC1">
        <w:rPr>
          <w:rFonts w:ascii="David" w:eastAsia="Calibri" w:hAnsi="David" w:cs="David"/>
          <w:sz w:val="24"/>
          <w:szCs w:val="24"/>
          <w:rtl/>
        </w:rPr>
        <w:t xml:space="preserve"> וברי כי אם סברו אז שנוצרה נאמנות היו מדובבים את </w:t>
      </w:r>
      <w:r>
        <w:rPr>
          <w:rFonts w:ascii="David" w:eastAsia="Calibri" w:hAnsi="David" w:cs="David"/>
          <w:sz w:val="24"/>
          <w:szCs w:val="24"/>
          <w:rtl/>
        </w:rPr>
        <w:t>ח.</w:t>
      </w:r>
      <w:r w:rsidRPr="00944FC1">
        <w:rPr>
          <w:rFonts w:ascii="David" w:eastAsia="Calibri" w:hAnsi="David" w:cs="David"/>
          <w:sz w:val="24"/>
          <w:szCs w:val="24"/>
          <w:rtl/>
        </w:rPr>
        <w:t xml:space="preserve"> בנושא. מהאזנה לשיחה עולה שזו לא התקיימה על מי מנוחות</w:t>
      </w:r>
      <w:r w:rsidRPr="00944FC1">
        <w:rPr>
          <w:rFonts w:ascii="David" w:eastAsia="Calibri" w:hAnsi="David" w:cs="David" w:hint="cs"/>
          <w:sz w:val="24"/>
          <w:szCs w:val="24"/>
          <w:rtl/>
        </w:rPr>
        <w:t>;</w:t>
      </w:r>
      <w:r w:rsidRPr="00944FC1">
        <w:rPr>
          <w:rFonts w:ascii="David" w:eastAsia="Calibri" w:hAnsi="David" w:cs="David"/>
          <w:sz w:val="24"/>
          <w:szCs w:val="24"/>
          <w:rtl/>
        </w:rPr>
        <w:t xml:space="preserve"> חלקים ממנה התנהלו בצעקות ובקול רם, </w:t>
      </w:r>
      <w:r w:rsidRPr="00944FC1">
        <w:rPr>
          <w:rFonts w:ascii="David" w:eastAsia="Calibri" w:hAnsi="David" w:cs="David" w:hint="cs"/>
          <w:sz w:val="24"/>
          <w:szCs w:val="24"/>
          <w:rtl/>
        </w:rPr>
        <w:t xml:space="preserve">ונזכרו בה </w:t>
      </w:r>
      <w:r w:rsidRPr="00944FC1">
        <w:rPr>
          <w:rFonts w:ascii="David" w:eastAsia="Calibri" w:hAnsi="David" w:cs="David"/>
          <w:sz w:val="24"/>
          <w:szCs w:val="24"/>
          <w:rtl/>
        </w:rPr>
        <w:t xml:space="preserve">מחלוקות רבות. במהלך השיחה הוחלפו דברים קשים בין </w:t>
      </w:r>
      <w:r>
        <w:rPr>
          <w:rFonts w:ascii="David" w:eastAsia="Calibri" w:hAnsi="David" w:cs="David"/>
          <w:sz w:val="24"/>
          <w:szCs w:val="24"/>
          <w:rtl/>
        </w:rPr>
        <w:t>מ.</w:t>
      </w:r>
      <w:r w:rsidRPr="00944FC1">
        <w:rPr>
          <w:rFonts w:ascii="David" w:eastAsia="Calibri" w:hAnsi="David" w:cs="David"/>
          <w:sz w:val="24"/>
          <w:szCs w:val="24"/>
          <w:rtl/>
        </w:rPr>
        <w:t xml:space="preserve"> ל</w:t>
      </w:r>
      <w:r>
        <w:rPr>
          <w:rFonts w:ascii="David" w:eastAsia="Calibri" w:hAnsi="David" w:cs="David"/>
          <w:sz w:val="24"/>
          <w:szCs w:val="24"/>
          <w:rtl/>
        </w:rPr>
        <w:t>ח.</w:t>
      </w:r>
      <w:r w:rsidRPr="00944FC1">
        <w:rPr>
          <w:rFonts w:ascii="David" w:eastAsia="Calibri" w:hAnsi="David" w:cs="David"/>
          <w:sz w:val="24"/>
          <w:szCs w:val="24"/>
          <w:rtl/>
        </w:rPr>
        <w:t xml:space="preserve"> בקשר להתנהגותם בהווה ובעבר. הם הטיחו  זה בזה האשמות ולא פעם נאלצו יתר המשתתפים להרגיע את הרוחות הסוערות. </w:t>
      </w:r>
      <w:r>
        <w:rPr>
          <w:rFonts w:ascii="David" w:eastAsia="Calibri" w:hAnsi="David" w:cs="David"/>
          <w:sz w:val="24"/>
          <w:szCs w:val="24"/>
          <w:rtl/>
        </w:rPr>
        <w:t>ש.</w:t>
      </w:r>
      <w:r w:rsidRPr="00944FC1">
        <w:rPr>
          <w:rFonts w:ascii="David" w:eastAsia="Calibri" w:hAnsi="David" w:cs="David"/>
          <w:sz w:val="24"/>
          <w:szCs w:val="24"/>
          <w:rtl/>
        </w:rPr>
        <w:t xml:space="preserve"> העיד כי לאחר אותה פגישה הקשר בין האחים דעך, הם לא נפגשו בשבתות וחגים וכמעט לא שוחחו. בנסיבות אלו קיים קושי לקבל את גרסת התובעים להמשך הנאמנות על רקע יחסים מתוחים שכאלו, וקשה עוד יותר להתעלם מהעובדה ש</w:t>
      </w:r>
      <w:r>
        <w:rPr>
          <w:rFonts w:ascii="David" w:eastAsia="Calibri" w:hAnsi="David" w:cs="David"/>
          <w:sz w:val="24"/>
          <w:szCs w:val="24"/>
          <w:rtl/>
        </w:rPr>
        <w:t>מ.</w:t>
      </w:r>
      <w:r w:rsidRPr="00944FC1">
        <w:rPr>
          <w:rFonts w:ascii="David" w:eastAsia="Calibri" w:hAnsi="David" w:cs="David"/>
          <w:sz w:val="24"/>
          <w:szCs w:val="24"/>
          <w:rtl/>
        </w:rPr>
        <w:t xml:space="preserve"> לא הגיש תביעה בקשר לנכסי הנאמנות הנטענת על אף הקרע בין האחים, בפרט על רקע עדותה של </w:t>
      </w:r>
      <w:r>
        <w:rPr>
          <w:rFonts w:ascii="David" w:eastAsia="Calibri" w:hAnsi="David" w:cs="David"/>
          <w:sz w:val="24"/>
          <w:szCs w:val="24"/>
          <w:rtl/>
        </w:rPr>
        <w:t>כ.</w:t>
      </w:r>
      <w:r w:rsidRPr="00944FC1">
        <w:rPr>
          <w:rFonts w:ascii="David" w:eastAsia="Calibri" w:hAnsi="David" w:cs="David"/>
          <w:sz w:val="24"/>
          <w:szCs w:val="24"/>
          <w:rtl/>
        </w:rPr>
        <w:t xml:space="preserve"> ש</w:t>
      </w:r>
      <w:r>
        <w:rPr>
          <w:rFonts w:ascii="David" w:eastAsia="Calibri" w:hAnsi="David" w:cs="David"/>
          <w:sz w:val="24"/>
          <w:szCs w:val="24"/>
          <w:rtl/>
        </w:rPr>
        <w:t>מ.</w:t>
      </w:r>
      <w:r w:rsidRPr="00944FC1">
        <w:rPr>
          <w:rFonts w:ascii="David" w:eastAsia="Calibri" w:hAnsi="David" w:cs="David"/>
          <w:sz w:val="24"/>
          <w:szCs w:val="24"/>
          <w:rtl/>
        </w:rPr>
        <w:t xml:space="preserve"> לא חשש מ</w:t>
      </w:r>
      <w:r>
        <w:rPr>
          <w:rFonts w:ascii="David" w:eastAsia="Calibri" w:hAnsi="David" w:cs="David"/>
          <w:sz w:val="24"/>
          <w:szCs w:val="24"/>
          <w:rtl/>
        </w:rPr>
        <w:t>ח.</w:t>
      </w:r>
      <w:r w:rsidRPr="00944FC1">
        <w:rPr>
          <w:rFonts w:ascii="David" w:eastAsia="Calibri" w:hAnsi="David" w:cs="David"/>
          <w:sz w:val="24"/>
          <w:szCs w:val="24"/>
          <w:rtl/>
        </w:rPr>
        <w:t xml:space="preserve"> (פרוטוקול עמ' 238).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זאת ועוד, גרסת התובעים בעניין אינה קוהרנטית וגם מטעם זה לא ניתן לקבלה; </w:t>
      </w:r>
      <w:r>
        <w:rPr>
          <w:rFonts w:ascii="David" w:eastAsia="Calibri" w:hAnsi="David" w:cs="David"/>
          <w:sz w:val="24"/>
          <w:szCs w:val="24"/>
          <w:rtl/>
        </w:rPr>
        <w:t>כ.</w:t>
      </w:r>
      <w:r w:rsidRPr="00944FC1">
        <w:rPr>
          <w:rFonts w:ascii="David" w:eastAsia="Calibri" w:hAnsi="David" w:cs="David"/>
          <w:sz w:val="24"/>
          <w:szCs w:val="24"/>
          <w:rtl/>
        </w:rPr>
        <w:t xml:space="preserve"> טענה בחקירתה שהנאמנות נוצרה בשנת 1966 שאז היה </w:t>
      </w:r>
      <w:r>
        <w:rPr>
          <w:rFonts w:ascii="David" w:eastAsia="Calibri" w:hAnsi="David" w:cs="David"/>
          <w:sz w:val="24"/>
          <w:szCs w:val="24"/>
          <w:rtl/>
        </w:rPr>
        <w:t>מ.</w:t>
      </w:r>
      <w:r w:rsidRPr="00944FC1">
        <w:rPr>
          <w:rFonts w:ascii="David" w:eastAsia="Calibri" w:hAnsi="David" w:cs="David"/>
          <w:sz w:val="24"/>
          <w:szCs w:val="24"/>
          <w:rtl/>
        </w:rPr>
        <w:t xml:space="preserve"> חייל אך בהמשך טענה שהשיתוף בנכסים נוצר במסגרת אותה פגישה משפחתית (פרוטוקול עמ' 200-198). </w:t>
      </w:r>
      <w:r>
        <w:rPr>
          <w:rFonts w:ascii="David" w:eastAsia="Calibri" w:hAnsi="David" w:cs="David"/>
          <w:sz w:val="24"/>
          <w:szCs w:val="24"/>
          <w:rtl/>
        </w:rPr>
        <w:t>ר.</w:t>
      </w:r>
      <w:r w:rsidRPr="00944FC1">
        <w:rPr>
          <w:rFonts w:ascii="David" w:eastAsia="Calibri" w:hAnsi="David" w:cs="David"/>
          <w:sz w:val="24"/>
          <w:szCs w:val="24"/>
          <w:rtl/>
        </w:rPr>
        <w:t xml:space="preserve"> העידה בתחילה כי הנאמנות בקשר לנכס בדרך העצמאות נוצרה בעת רכישתו (עמ' 221) ואילו הנאמנות בקשר לחנות נוצרה בסמוך לפרוץ הסכסוך בין </w:t>
      </w:r>
      <w:r>
        <w:rPr>
          <w:rFonts w:ascii="David" w:eastAsia="Calibri" w:hAnsi="David" w:cs="David"/>
          <w:sz w:val="24"/>
          <w:szCs w:val="24"/>
          <w:rtl/>
        </w:rPr>
        <w:t>מ.</w:t>
      </w:r>
      <w:r w:rsidRPr="00944FC1">
        <w:rPr>
          <w:rFonts w:ascii="David" w:eastAsia="Calibri" w:hAnsi="David" w:cs="David"/>
          <w:sz w:val="24"/>
          <w:szCs w:val="24"/>
          <w:rtl/>
        </w:rPr>
        <w:t xml:space="preserve"> ל</w:t>
      </w:r>
      <w:r>
        <w:rPr>
          <w:rFonts w:ascii="David" w:eastAsia="Calibri" w:hAnsi="David" w:cs="David"/>
          <w:sz w:val="24"/>
          <w:szCs w:val="24"/>
          <w:rtl/>
        </w:rPr>
        <w:t>ע.</w:t>
      </w:r>
      <w:r w:rsidRPr="00944FC1">
        <w:rPr>
          <w:rFonts w:ascii="David" w:eastAsia="Calibri" w:hAnsi="David" w:cs="David"/>
          <w:sz w:val="24"/>
          <w:szCs w:val="24"/>
          <w:rtl/>
        </w:rPr>
        <w:t xml:space="preserve"> (עמ' 223-222). אף לא אחת מהטענות הוכחה.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Pr>
          <w:rFonts w:ascii="David" w:eastAsia="Calibri" w:hAnsi="David" w:cs="David"/>
          <w:sz w:val="24"/>
          <w:szCs w:val="24"/>
          <w:rtl/>
        </w:rPr>
        <w:lastRenderedPageBreak/>
        <w:t>ח.</w:t>
      </w:r>
      <w:r w:rsidRPr="00944FC1">
        <w:rPr>
          <w:rFonts w:ascii="David" w:eastAsia="Calibri" w:hAnsi="David" w:cs="David"/>
          <w:sz w:val="24"/>
          <w:szCs w:val="24"/>
          <w:rtl/>
        </w:rPr>
        <w:t xml:space="preserve"> אומנם תמך ב</w:t>
      </w:r>
      <w:r>
        <w:rPr>
          <w:rFonts w:ascii="David" w:eastAsia="Calibri" w:hAnsi="David" w:cs="David"/>
          <w:sz w:val="24"/>
          <w:szCs w:val="24"/>
          <w:rtl/>
        </w:rPr>
        <w:t>מ.</w:t>
      </w:r>
      <w:r w:rsidRPr="00944FC1">
        <w:rPr>
          <w:rFonts w:ascii="David" w:eastAsia="Calibri" w:hAnsi="David" w:cs="David"/>
          <w:sz w:val="24"/>
          <w:szCs w:val="24"/>
          <w:rtl/>
        </w:rPr>
        <w:t xml:space="preserve"> וסייע לו כספית במספר הזדמנויות ואולם דאגתו לאחיו היחיד –אינה מכוננת נאמנות בין האחים.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לאור האמור הטענה לקיומה של נאמנות בין </w:t>
      </w:r>
      <w:r>
        <w:rPr>
          <w:rFonts w:ascii="David" w:eastAsia="Calibri" w:hAnsi="David" w:cs="David"/>
          <w:sz w:val="24"/>
          <w:szCs w:val="24"/>
          <w:rtl/>
        </w:rPr>
        <w:t>מ.</w:t>
      </w:r>
      <w:r w:rsidRPr="00944FC1">
        <w:rPr>
          <w:rFonts w:ascii="David" w:eastAsia="Calibri" w:hAnsi="David" w:cs="David"/>
          <w:sz w:val="24"/>
          <w:szCs w:val="24"/>
          <w:rtl/>
        </w:rPr>
        <w:t xml:space="preserve"> ל</w:t>
      </w:r>
      <w:r>
        <w:rPr>
          <w:rFonts w:ascii="David" w:eastAsia="Calibri" w:hAnsi="David" w:cs="David"/>
          <w:sz w:val="24"/>
          <w:szCs w:val="24"/>
          <w:rtl/>
        </w:rPr>
        <w:t>ח.</w:t>
      </w:r>
      <w:r w:rsidRPr="00944FC1">
        <w:rPr>
          <w:rFonts w:ascii="David" w:eastAsia="Calibri" w:hAnsi="David" w:cs="David"/>
          <w:sz w:val="24"/>
          <w:szCs w:val="24"/>
          <w:rtl/>
        </w:rPr>
        <w:t xml:space="preserve"> –נדחית </w:t>
      </w:r>
    </w:p>
    <w:p w:rsidR="00944FC1" w:rsidRPr="00944FC1" w:rsidRDefault="00944FC1" w:rsidP="00944FC1">
      <w:pPr>
        <w:spacing w:after="0" w:line="360" w:lineRule="auto"/>
        <w:mirrorIndents/>
        <w:jc w:val="both"/>
        <w:rPr>
          <w:rFonts w:ascii="David" w:eastAsia="Calibri" w:hAnsi="David" w:cs="David"/>
          <w:b/>
          <w:bCs/>
          <w:sz w:val="24"/>
          <w:szCs w:val="24"/>
        </w:rPr>
      </w:pPr>
    </w:p>
    <w:p w:rsidR="00944FC1" w:rsidRPr="00944FC1" w:rsidRDefault="00944FC1" w:rsidP="00944FC1">
      <w:pPr>
        <w:spacing w:after="0" w:line="360" w:lineRule="auto"/>
        <w:ind w:left="-113" w:right="-113"/>
        <w:mirrorIndents/>
        <w:jc w:val="both"/>
        <w:rPr>
          <w:rFonts w:ascii="David" w:eastAsia="Calibri" w:hAnsi="David" w:cs="David"/>
          <w:b/>
          <w:bCs/>
          <w:sz w:val="24"/>
          <w:szCs w:val="24"/>
          <w:u w:val="single"/>
          <w:rtl/>
        </w:rPr>
      </w:pPr>
      <w:r w:rsidRPr="00944FC1">
        <w:rPr>
          <w:rFonts w:ascii="David" w:eastAsia="Calibri" w:hAnsi="David" w:cs="David"/>
          <w:b/>
          <w:bCs/>
          <w:sz w:val="24"/>
          <w:szCs w:val="24"/>
          <w:u w:val="single"/>
          <w:rtl/>
        </w:rPr>
        <w:t xml:space="preserve">הנכס בדרך  העצמאות </w:t>
      </w:r>
    </w:p>
    <w:p w:rsidR="00944FC1" w:rsidRPr="00944FC1" w:rsidRDefault="00944FC1" w:rsidP="00944FC1">
      <w:pPr>
        <w:spacing w:after="0" w:line="360" w:lineRule="auto"/>
        <w:ind w:left="-113" w:right="-113"/>
        <w:mirrorIndents/>
        <w:jc w:val="both"/>
        <w:rPr>
          <w:rFonts w:ascii="David" w:eastAsia="Calibri" w:hAnsi="David" w:cs="David"/>
          <w:b/>
          <w:bCs/>
          <w:sz w:val="24"/>
          <w:szCs w:val="24"/>
          <w:u w:val="single"/>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לטענת התובעים, על אף שהנכס רשום על שמו של </w:t>
      </w:r>
      <w:r>
        <w:rPr>
          <w:rFonts w:ascii="David" w:eastAsia="Calibri" w:hAnsi="David" w:cs="David"/>
          <w:sz w:val="24"/>
          <w:szCs w:val="24"/>
          <w:rtl/>
        </w:rPr>
        <w:t>ח.</w:t>
      </w:r>
      <w:r w:rsidRPr="00944FC1">
        <w:rPr>
          <w:rFonts w:ascii="David" w:eastAsia="Calibri" w:hAnsi="David" w:cs="David"/>
          <w:sz w:val="24"/>
          <w:szCs w:val="24"/>
          <w:rtl/>
        </w:rPr>
        <w:t xml:space="preserve">, הרי שבפועל הוא נרכש במשותף על ידי האחים המנוחים -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מ.</w:t>
      </w:r>
      <w:r w:rsidRPr="00944FC1">
        <w:rPr>
          <w:rFonts w:ascii="David" w:eastAsia="Calibri" w:hAnsi="David" w:cs="David"/>
          <w:sz w:val="24"/>
          <w:szCs w:val="24"/>
          <w:rtl/>
        </w:rPr>
        <w:t>. התובעים מבססים את טענתם על מספר אדנים, אשר לשיטתם מצטברים לכדי תשתית ראייתית איתנה המצדיקה את הסעד המבוקש</w:t>
      </w:r>
      <w:r w:rsidRPr="00944FC1">
        <w:rPr>
          <w:rFonts w:ascii="David" w:eastAsia="Calibri" w:hAnsi="David" w:cs="David"/>
          <w:sz w:val="24"/>
          <w:szCs w:val="24"/>
        </w:rPr>
        <w:t>.</w:t>
      </w:r>
    </w:p>
    <w:p w:rsidR="00944FC1" w:rsidRPr="00944FC1" w:rsidRDefault="00944FC1" w:rsidP="00944FC1">
      <w:pPr>
        <w:spacing w:after="0" w:line="360" w:lineRule="auto"/>
        <w:ind w:left="357"/>
        <w:contextualSpacing/>
        <w:jc w:val="both"/>
        <w:rPr>
          <w:rFonts w:ascii="David" w:eastAsia="Calibri" w:hAnsi="David" w:cs="David"/>
          <w:sz w:val="24"/>
          <w:szCs w:val="24"/>
        </w:rPr>
      </w:pPr>
    </w:p>
    <w:p w:rsidR="00944FC1" w:rsidRPr="008C5037"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8C5037">
        <w:rPr>
          <w:rFonts w:ascii="David" w:eastAsia="Calibri" w:hAnsi="David" w:cs="David"/>
          <w:sz w:val="24"/>
          <w:szCs w:val="24"/>
          <w:rtl/>
        </w:rPr>
        <w:t xml:space="preserve">בכתב התביעה טענו התובעים כי הנכס נרכש במימונו של סבא </w:t>
      </w:r>
      <w:r w:rsidR="00402910">
        <w:rPr>
          <w:rFonts w:ascii="David" w:eastAsia="Calibri" w:hAnsi="David" w:cs="David"/>
          <w:sz w:val="24"/>
          <w:szCs w:val="24"/>
          <w:rtl/>
        </w:rPr>
        <w:t>נ'</w:t>
      </w:r>
      <w:r w:rsidRPr="008C5037">
        <w:rPr>
          <w:rFonts w:ascii="David" w:eastAsia="Calibri" w:hAnsi="David" w:cs="David" w:hint="cs"/>
          <w:sz w:val="24"/>
          <w:szCs w:val="24"/>
          <w:rtl/>
        </w:rPr>
        <w:t>-</w:t>
      </w:r>
      <w:r w:rsidRPr="008C5037">
        <w:rPr>
          <w:rFonts w:ascii="David" w:eastAsia="Calibri" w:hAnsi="David" w:cs="David"/>
          <w:sz w:val="24"/>
          <w:szCs w:val="24"/>
          <w:rtl/>
        </w:rPr>
        <w:t xml:space="preserve"> "</w:t>
      </w:r>
      <w:r w:rsidRPr="008C5037">
        <w:rPr>
          <w:rFonts w:ascii="David" w:eastAsia="Calibri" w:hAnsi="David" w:cs="David"/>
          <w:b/>
          <w:bCs/>
          <w:sz w:val="24"/>
          <w:szCs w:val="24"/>
          <w:rtl/>
        </w:rPr>
        <w:t>אלא שבהתאם להסדרים הרכושיים הפנים -משפחתיים שהתקיימו בין האחים המנוחים, ובמיוחד על רקע חוסר האמון שרכש הדוד המנוח ו/או הסב המנוח לבת זוגו דאז של האב המנוח (לימים גרושתו) הזכויות במקרקעין-כמו גם בנכסים משותפים אחרים-נרכשו ונרשמו באופן פורמלי על שם הדוד המנוח</w:t>
      </w:r>
      <w:r w:rsidRPr="008C5037">
        <w:rPr>
          <w:rFonts w:ascii="David" w:eastAsia="Calibri" w:hAnsi="David" w:cs="David"/>
          <w:sz w:val="24"/>
          <w:szCs w:val="24"/>
          <w:rtl/>
        </w:rPr>
        <w:t>" (סעיף 22 בכתב התביעה).  עוד לטענתם, הבחירה לרשום את הנכס על שם ח. נבעה משיקולים טקטיים ולא שיקפה את הבעלות האמיתית בנכס</w:t>
      </w:r>
      <w:r w:rsidRPr="008C5037">
        <w:rPr>
          <w:rFonts w:ascii="David" w:eastAsia="Calibri" w:hAnsi="David" w:cs="David"/>
          <w:sz w:val="24"/>
          <w:szCs w:val="24"/>
        </w:rPr>
        <w:t>.</w:t>
      </w:r>
      <w:r w:rsidRPr="008C5037">
        <w:rPr>
          <w:rFonts w:ascii="David" w:eastAsia="Calibri" w:hAnsi="David" w:cs="David"/>
          <w:sz w:val="24"/>
          <w:szCs w:val="24"/>
          <w:rtl/>
        </w:rPr>
        <w:t xml:space="preserve"> על כן, כך נטען, הוחלט כי הנכס יירשם באופן פורמלי על שם ח. בלבד, תוך הבנה ברורה כי הוא מחזיק במחצית הזכויות בנאמנות עבור מ..</w:t>
      </w:r>
    </w:p>
    <w:p w:rsidR="00944FC1" w:rsidRPr="00944FC1" w:rsidRDefault="00944FC1" w:rsidP="00944FC1">
      <w:pPr>
        <w:spacing w:after="0" w:line="360" w:lineRule="auto"/>
        <w:ind w:left="501"/>
        <w:contextualSpacing/>
        <w:mirrorIndents/>
        <w:jc w:val="both"/>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התובעים מוסיפים וטוענים כי לאורך השנים התנהלו האחים כיחידה אחת, תוך ניהול "קופה משותפת" וחלוקת הכנסות והוצאות, לרבות ביחס לנכס בדרך העצמאות. לשיטתם האחים המנוחים ראו בנכס כמשותף "</w:t>
      </w:r>
      <w:r w:rsidRPr="00944FC1">
        <w:rPr>
          <w:rFonts w:ascii="David" w:eastAsia="Calibri" w:hAnsi="David" w:cs="David"/>
          <w:b/>
          <w:bCs/>
          <w:sz w:val="24"/>
          <w:szCs w:val="24"/>
          <w:rtl/>
        </w:rPr>
        <w:t>בשל העובדה כי כלל נכסיהם של האחים המנוחים ... נרכשו בסופו של יום מכספיהם המשותפים ו/או בכספיו של סבנו המנוח ו/או בכספי מכר נכסים אחרים אותם רכש עבורם סבנו המנוח</w:t>
      </w:r>
      <w:r w:rsidRPr="00944FC1">
        <w:rPr>
          <w:rFonts w:ascii="David" w:eastAsia="Calibri" w:hAnsi="David" w:cs="David"/>
          <w:sz w:val="24"/>
          <w:szCs w:val="24"/>
          <w:rtl/>
        </w:rPr>
        <w:t>". לשיטתם לאחר ששקלו את השקעות הצדדים במקרקעין החליטו שחלוקת הזכויות תהיה 60% ל</w:t>
      </w:r>
      <w:r>
        <w:rPr>
          <w:rFonts w:ascii="David" w:eastAsia="Calibri" w:hAnsi="David" w:cs="David"/>
          <w:sz w:val="24"/>
          <w:szCs w:val="24"/>
          <w:rtl/>
        </w:rPr>
        <w:t>ח.</w:t>
      </w:r>
      <w:r w:rsidRPr="00944FC1">
        <w:rPr>
          <w:rFonts w:ascii="David" w:eastAsia="Calibri" w:hAnsi="David" w:cs="David"/>
          <w:sz w:val="24"/>
          <w:szCs w:val="24"/>
          <w:rtl/>
        </w:rPr>
        <w:t xml:space="preserve"> ו-40% ל</w:t>
      </w:r>
      <w:r>
        <w:rPr>
          <w:rFonts w:ascii="David" w:eastAsia="Calibri" w:hAnsi="David" w:cs="David"/>
          <w:sz w:val="24"/>
          <w:szCs w:val="24"/>
          <w:rtl/>
        </w:rPr>
        <w:t>מ.</w:t>
      </w:r>
      <w:r w:rsidRPr="00944FC1">
        <w:rPr>
          <w:rFonts w:ascii="David" w:eastAsia="Calibri" w:hAnsi="David" w:cs="David"/>
          <w:sz w:val="24"/>
          <w:szCs w:val="24"/>
          <w:rtl/>
        </w:rPr>
        <w:t xml:space="preserve">.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מסתמכים על שיחות שהוקלטו בשנת 2011, במהלכן לטענתם הודה </w:t>
      </w:r>
      <w:r>
        <w:rPr>
          <w:rFonts w:ascii="David" w:eastAsia="Calibri" w:hAnsi="David" w:cs="David"/>
          <w:sz w:val="24"/>
          <w:szCs w:val="24"/>
          <w:rtl/>
        </w:rPr>
        <w:t>ח.</w:t>
      </w:r>
      <w:r w:rsidRPr="00944FC1">
        <w:rPr>
          <w:rFonts w:ascii="David" w:eastAsia="Calibri" w:hAnsi="David" w:cs="David"/>
          <w:sz w:val="24"/>
          <w:szCs w:val="24"/>
          <w:rtl/>
        </w:rPr>
        <w:t xml:space="preserve"> בזכויותיו של </w:t>
      </w:r>
      <w:r>
        <w:rPr>
          <w:rFonts w:ascii="David" w:eastAsia="Calibri" w:hAnsi="David" w:cs="David"/>
          <w:sz w:val="24"/>
          <w:szCs w:val="24"/>
          <w:rtl/>
        </w:rPr>
        <w:t>מ.</w:t>
      </w:r>
      <w:r w:rsidRPr="00944FC1">
        <w:rPr>
          <w:rFonts w:ascii="David" w:eastAsia="Calibri" w:hAnsi="David" w:cs="David"/>
          <w:sz w:val="24"/>
          <w:szCs w:val="24"/>
          <w:rtl/>
        </w:rPr>
        <w:t xml:space="preserve"> בנכסים השונים, ובכללם בנכס בדרך העצמאות.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מצאתי לדחות את טענת התובעים מהנימוקים שיפורטו להלן.</w:t>
      </w:r>
    </w:p>
    <w:p w:rsidR="00944FC1" w:rsidRPr="00944FC1" w:rsidRDefault="00944FC1" w:rsidP="00944FC1">
      <w:pPr>
        <w:spacing w:after="0" w:line="360" w:lineRule="auto"/>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lastRenderedPageBreak/>
        <w:t xml:space="preserve">בראש ובראשונה התובעים מושתקים מלטעון טענות שעומדות בסתירה לטענות שטען </w:t>
      </w:r>
      <w:r>
        <w:rPr>
          <w:rFonts w:ascii="David" w:eastAsia="Calibri" w:hAnsi="David" w:cs="David"/>
          <w:sz w:val="24"/>
          <w:szCs w:val="24"/>
          <w:rtl/>
        </w:rPr>
        <w:t>מ.</w:t>
      </w:r>
      <w:r w:rsidRPr="00944FC1">
        <w:rPr>
          <w:rFonts w:ascii="David" w:eastAsia="Calibri" w:hAnsi="David" w:cs="David"/>
          <w:sz w:val="24"/>
          <w:szCs w:val="24"/>
          <w:rtl/>
        </w:rPr>
        <w:t xml:space="preserve"> בכתב ההגנה בתביעה הרכושית. כלל ההשתק השיפוטי קובע כי בעל דין שהעלה טענה עובדתית או משפטית בהליך אחד יהיה מושתק מלטעון טענה הפוכה באותו עניין בהליך אחר (ע"א 513/89</w:t>
      </w:r>
      <w:r w:rsidRPr="00944FC1">
        <w:rPr>
          <w:rFonts w:ascii="David" w:eastAsia="Calibri" w:hAnsi="David" w:cs="David"/>
          <w:b/>
          <w:bCs/>
          <w:sz w:val="24"/>
          <w:szCs w:val="24"/>
        </w:rPr>
        <w:t xml:space="preserve"> S/interlego a </w:t>
      </w:r>
      <w:r w:rsidRPr="00944FC1">
        <w:rPr>
          <w:rFonts w:ascii="David" w:eastAsia="Calibri" w:hAnsi="David" w:cs="David" w:hint="cs"/>
          <w:b/>
          <w:bCs/>
          <w:sz w:val="24"/>
          <w:szCs w:val="24"/>
          <w:cs/>
        </w:rPr>
        <w:t>‎</w:t>
      </w:r>
      <w:r w:rsidRPr="00944FC1">
        <w:rPr>
          <w:rFonts w:ascii="David" w:eastAsia="Calibri" w:hAnsi="David" w:cs="David"/>
          <w:b/>
          <w:bCs/>
          <w:sz w:val="24"/>
          <w:szCs w:val="24"/>
          <w:rtl/>
        </w:rPr>
        <w:t>נ' ‏</w:t>
      </w:r>
      <w:r w:rsidRPr="00944FC1">
        <w:rPr>
          <w:rFonts w:ascii="David" w:eastAsia="Calibri" w:hAnsi="David" w:cs="David"/>
          <w:b/>
          <w:bCs/>
          <w:sz w:val="24"/>
          <w:szCs w:val="24"/>
        </w:rPr>
        <w:t xml:space="preserve"> lines bros. S.a-exin,</w:t>
      </w:r>
      <w:r w:rsidRPr="00944FC1">
        <w:rPr>
          <w:rFonts w:ascii="David" w:eastAsia="Calibri" w:hAnsi="David" w:cs="David"/>
          <w:sz w:val="24"/>
          <w:szCs w:val="24"/>
          <w:rtl/>
        </w:rPr>
        <w:t xml:space="preserve"> פ"ד </w:t>
      </w:r>
      <w:proofErr w:type="gramStart"/>
      <w:r w:rsidRPr="00944FC1">
        <w:rPr>
          <w:rFonts w:ascii="David" w:eastAsia="Calibri" w:hAnsi="David" w:cs="David"/>
          <w:sz w:val="24"/>
          <w:szCs w:val="24"/>
          <w:rtl/>
        </w:rPr>
        <w:t>מח(</w:t>
      </w:r>
      <w:proofErr w:type="gramEnd"/>
      <w:r w:rsidRPr="00944FC1">
        <w:rPr>
          <w:rFonts w:ascii="David" w:eastAsia="Calibri" w:hAnsi="David" w:cs="David"/>
          <w:sz w:val="24"/>
          <w:szCs w:val="24"/>
          <w:rtl/>
        </w:rPr>
        <w:t xml:space="preserve">4) 133 (1994); רע"א 4224/04 </w:t>
      </w:r>
      <w:r w:rsidRPr="00944FC1">
        <w:rPr>
          <w:rFonts w:ascii="David" w:eastAsia="Calibri" w:hAnsi="David" w:cs="David"/>
          <w:b/>
          <w:bCs/>
          <w:sz w:val="24"/>
          <w:szCs w:val="24"/>
          <w:rtl/>
        </w:rPr>
        <w:t>בית ששון בע"מ נ' שיכון עובדים והשקעות בע"מ</w:t>
      </w:r>
      <w:r w:rsidRPr="00944FC1">
        <w:rPr>
          <w:rFonts w:ascii="David" w:eastAsia="Calibri" w:hAnsi="David" w:cs="David"/>
          <w:sz w:val="24"/>
          <w:szCs w:val="24"/>
          <w:rtl/>
        </w:rPr>
        <w:t xml:space="preserve">, פ"ד נט(6) 625, (2005) (להלן: </w:t>
      </w:r>
      <w:r w:rsidRPr="00944FC1">
        <w:rPr>
          <w:rFonts w:ascii="David" w:eastAsia="Calibri" w:hAnsi="David" w:cs="David"/>
          <w:b/>
          <w:bCs/>
          <w:sz w:val="24"/>
          <w:szCs w:val="24"/>
          <w:rtl/>
        </w:rPr>
        <w:t>עניין בית ששון</w:t>
      </w:r>
      <w:r w:rsidRPr="00944FC1">
        <w:rPr>
          <w:rFonts w:ascii="David" w:eastAsia="Calibri" w:hAnsi="David" w:cs="David"/>
          <w:sz w:val="24"/>
          <w:szCs w:val="24"/>
          <w:rtl/>
        </w:rPr>
        <w:t xml:space="preserve">); ע"א 9984/04 </w:t>
      </w:r>
      <w:r w:rsidRPr="00944FC1">
        <w:rPr>
          <w:rFonts w:ascii="David" w:eastAsia="Calibri" w:hAnsi="David" w:cs="David"/>
          <w:b/>
          <w:bCs/>
          <w:sz w:val="24"/>
          <w:szCs w:val="24"/>
          <w:rtl/>
        </w:rPr>
        <w:t>חקשורי נ' בובליל</w:t>
      </w:r>
      <w:r w:rsidRPr="00944FC1">
        <w:rPr>
          <w:rFonts w:ascii="David" w:eastAsia="Calibri" w:hAnsi="David" w:cs="David"/>
          <w:sz w:val="24"/>
          <w:szCs w:val="24"/>
          <w:rtl/>
        </w:rPr>
        <w:t xml:space="preserve"> (9.6.2010)). </w:t>
      </w:r>
    </w:p>
    <w:p w:rsidR="00944FC1" w:rsidRPr="00944FC1" w:rsidRDefault="00944FC1" w:rsidP="00944FC1">
      <w:pPr>
        <w:overflowPunct w:val="0"/>
        <w:autoSpaceDE w:val="0"/>
        <w:autoSpaceDN w:val="0"/>
        <w:adjustRightInd w:val="0"/>
        <w:spacing w:after="0" w:line="360" w:lineRule="auto"/>
        <w:ind w:left="360" w:right="567"/>
        <w:jc w:val="both"/>
        <w:rPr>
          <w:rFonts w:ascii="David" w:eastAsia="Calibri" w:hAnsi="David" w:cs="David"/>
          <w:sz w:val="24"/>
          <w:szCs w:val="24"/>
        </w:rPr>
      </w:pPr>
      <w:r w:rsidRPr="00944FC1">
        <w:rPr>
          <w:rFonts w:ascii="David" w:eastAsia="Calibri" w:hAnsi="David" w:cs="David"/>
          <w:sz w:val="24"/>
          <w:szCs w:val="24"/>
          <w:rtl/>
        </w:rPr>
        <w:t xml:space="preserve"> </w:t>
      </w: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bookmarkStart w:id="2" w:name="_Ref129858260"/>
      <w:r w:rsidRPr="00944FC1">
        <w:rPr>
          <w:rFonts w:ascii="David" w:eastAsia="Calibri" w:hAnsi="David" w:cs="David"/>
          <w:sz w:val="24"/>
          <w:szCs w:val="24"/>
          <w:rtl/>
        </w:rPr>
        <w:t>לכלל ההשתק השיפוטי מספר תכליות: כאלו הקשורות בהתנהגות בעלי הדין-הגינות  ומניעת שימוש לרעה בהליך השיפוטי, וכאלו הקשורות בהליך השיפוטי-שמירה על אמון הציבור במערכת המשפט ומניעת הכרעות סותרות.</w:t>
      </w:r>
      <w:bookmarkEnd w:id="2"/>
    </w:p>
    <w:p w:rsidR="00944FC1" w:rsidRPr="00944FC1" w:rsidRDefault="00944FC1" w:rsidP="00944FC1">
      <w:pPr>
        <w:spacing w:after="0" w:line="360" w:lineRule="auto"/>
        <w:ind w:left="227"/>
        <w:jc w:val="both"/>
        <w:rPr>
          <w:rFonts w:ascii="David" w:eastAsia="Calibri" w:hAnsi="David" w:cs="David"/>
          <w:sz w:val="24"/>
          <w:szCs w:val="24"/>
          <w:rtl/>
        </w:rPr>
      </w:pPr>
      <w:r w:rsidRPr="00944FC1">
        <w:rPr>
          <w:rFonts w:ascii="David" w:eastAsia="Calibri" w:hAnsi="David" w:cs="David"/>
          <w:sz w:val="24"/>
          <w:szCs w:val="24"/>
          <w:rtl/>
        </w:rPr>
        <w:t>בפסיקה נתגלעה מחלוקת בעניין תחולת הכלל; יש שקבעו כי הכלל יחול רק בהתקיים תנאי</w:t>
      </w:r>
      <w:r w:rsidRPr="00944FC1">
        <w:rPr>
          <w:rFonts w:ascii="David" w:eastAsia="Calibri" w:hAnsi="David" w:cs="David" w:hint="cs"/>
          <w:sz w:val="24"/>
          <w:szCs w:val="24"/>
          <w:rtl/>
        </w:rPr>
        <w:t xml:space="preserve"> </w:t>
      </w:r>
      <w:r w:rsidRPr="00944FC1">
        <w:rPr>
          <w:rFonts w:ascii="David" w:eastAsia="Calibri" w:hAnsi="David" w:cs="David"/>
          <w:sz w:val="24"/>
          <w:szCs w:val="24"/>
          <w:rtl/>
        </w:rPr>
        <w:t>המכונה "תנאי ההצלחה הקודמת". דהיינו, שהטענה שהעלה בעל הדין בהליך המוקדם התקבלה או לפחות הקנתה לו יתרון או טובת הנאה (ע"א 8119/06</w:t>
      </w:r>
      <w:r w:rsidRPr="00944FC1">
        <w:rPr>
          <w:rFonts w:ascii="David" w:eastAsia="Calibri" w:hAnsi="David" w:cs="David"/>
          <w:b/>
          <w:bCs/>
          <w:sz w:val="24"/>
          <w:szCs w:val="24"/>
          <w:rtl/>
        </w:rPr>
        <w:t xml:space="preserve"> יבולי גליל בע"מ נ' מדינת ישראל-אגף המכס ומס ערך מוסף</w:t>
      </w:r>
      <w:r w:rsidRPr="00944FC1">
        <w:rPr>
          <w:rFonts w:ascii="David" w:eastAsia="Calibri" w:hAnsi="David" w:cs="David"/>
          <w:sz w:val="24"/>
          <w:szCs w:val="24"/>
          <w:rtl/>
        </w:rPr>
        <w:t xml:space="preserve"> (31.1.2013) והאסמכתאות שם). יש שסברו שאין צורך בתנאי ההצלחה הקודמת לשם החלת הכלל (פסק דינו של השופט רובינשטיין בעניין בית ששון). </w:t>
      </w:r>
    </w:p>
    <w:p w:rsidR="00944FC1" w:rsidRPr="00944FC1" w:rsidRDefault="00944FC1" w:rsidP="00944FC1">
      <w:pPr>
        <w:spacing w:after="0" w:line="360" w:lineRule="auto"/>
        <w:ind w:left="227"/>
        <w:jc w:val="both"/>
        <w:rPr>
          <w:rFonts w:ascii="David" w:eastAsia="Calibri" w:hAnsi="David" w:cs="David"/>
          <w:sz w:val="24"/>
          <w:szCs w:val="24"/>
          <w:highlight w:val="lightGray"/>
          <w:rtl/>
        </w:rPr>
      </w:pPr>
      <w:r w:rsidRPr="00944FC1">
        <w:rPr>
          <w:rFonts w:ascii="David" w:eastAsia="Calibri" w:hAnsi="David" w:cs="David"/>
          <w:sz w:val="24"/>
          <w:szCs w:val="24"/>
          <w:rtl/>
        </w:rPr>
        <w:t>בע"א</w:t>
      </w:r>
      <w:r w:rsidRPr="00944FC1">
        <w:rPr>
          <w:rFonts w:ascii="David" w:eastAsia="Calibri" w:hAnsi="David" w:cs="David"/>
          <w:b/>
          <w:bCs/>
          <w:sz w:val="24"/>
          <w:szCs w:val="24"/>
          <w:rtl/>
        </w:rPr>
        <w:t xml:space="preserve"> </w:t>
      </w:r>
      <w:r w:rsidRPr="00944FC1">
        <w:rPr>
          <w:rFonts w:ascii="David" w:eastAsia="Calibri" w:hAnsi="David" w:cs="David"/>
          <w:sz w:val="24"/>
          <w:szCs w:val="24"/>
          <w:rtl/>
        </w:rPr>
        <w:t>6744/20</w:t>
      </w:r>
      <w:r w:rsidRPr="00944FC1">
        <w:rPr>
          <w:rFonts w:ascii="David" w:eastAsia="Calibri" w:hAnsi="David" w:cs="David"/>
          <w:b/>
          <w:bCs/>
          <w:sz w:val="24"/>
          <w:szCs w:val="24"/>
          <w:rtl/>
        </w:rPr>
        <w:t xml:space="preserve"> מדינת ישראל - רשות מקרקעי ישראל נ' טבר</w:t>
      </w:r>
      <w:r w:rsidRPr="00944FC1">
        <w:rPr>
          <w:rFonts w:ascii="David" w:eastAsia="Calibri" w:hAnsi="David" w:cs="David"/>
          <w:sz w:val="24"/>
          <w:szCs w:val="24"/>
          <w:rtl/>
        </w:rPr>
        <w:t xml:space="preserve"> (7.7.2022), נדרשה הנשיאה חיות לתנאי ההצלחה הקודמת וציינה שהוא שנוי במחלוקת במשפט הישראלי וכי </w:t>
      </w:r>
      <w:r w:rsidRPr="00944FC1">
        <w:rPr>
          <w:rFonts w:ascii="David" w:eastAsia="Calibri" w:hAnsi="David" w:cs="David"/>
          <w:b/>
          <w:bCs/>
          <w:sz w:val="24"/>
          <w:szCs w:val="24"/>
          <w:rtl/>
        </w:rPr>
        <w:t>"בפועל, בתי המשפט נוהגים להחיל את כלל ההשתק השיפוטי בעיקר כאשר ניכרת סטייה מהתכליות שעומדות בבסיסו – כלומר, כאשר התנהלות בעל הדין הטוען טענות סותרות, לוקה בחוסר תום לב או בניצול לרעה של ההליך המשפטי (עניין כהן, בפסקה 9 לפסק דיני והאסמכתאות שם; בע"מ 2158/16</w:t>
      </w:r>
      <w:r w:rsidRPr="00944FC1">
        <w:rPr>
          <w:rFonts w:ascii="David" w:eastAsia="Calibri" w:hAnsi="David" w:cs="David"/>
          <w:b/>
          <w:bCs/>
          <w:sz w:val="24"/>
          <w:szCs w:val="24"/>
        </w:rPr>
        <w:t> </w:t>
      </w:r>
      <w:r w:rsidRPr="00944FC1">
        <w:rPr>
          <w:rFonts w:ascii="David" w:eastAsia="Calibri" w:hAnsi="David" w:cs="David"/>
          <w:b/>
          <w:bCs/>
          <w:sz w:val="24"/>
          <w:szCs w:val="24"/>
          <w:rtl/>
        </w:rPr>
        <w:t>פלוני נ' פלונית, פסקה טז [פורסם בנבו] (1.5.2016);</w:t>
      </w:r>
      <w:r w:rsidRPr="00944FC1">
        <w:rPr>
          <w:rFonts w:ascii="David" w:eastAsia="Calibri" w:hAnsi="David" w:cs="David"/>
          <w:b/>
          <w:bCs/>
          <w:sz w:val="24"/>
          <w:szCs w:val="24"/>
        </w:rPr>
        <w:t xml:space="preserve"> </w:t>
      </w:r>
      <w:r w:rsidRPr="00944FC1">
        <w:rPr>
          <w:rFonts w:ascii="David" w:eastAsia="Calibri" w:hAnsi="David" w:cs="David"/>
          <w:b/>
          <w:bCs/>
          <w:sz w:val="24"/>
          <w:szCs w:val="24"/>
          <w:rtl/>
        </w:rPr>
        <w:t>עניין לשם, בפסקאות 87-86; ראו גם אדד, בעמ' 293; עידו באום ואבישג ברוך "השתק שיפוטי: עיון ביקורתי בכלל ההצלחה הקודמת" ספר אליקים רובינשטיין 1461, 1494 (אהרן ברק, מרים מרקוביץ-ביטון, אילה פרוקצ'יה ורינת סופר עורכים, 2021)</w:t>
      </w:r>
      <w:r w:rsidRPr="00944FC1">
        <w:rPr>
          <w:rFonts w:ascii="David" w:eastAsia="Calibri" w:hAnsi="David" w:cs="David"/>
          <w:sz w:val="24"/>
          <w:szCs w:val="24"/>
          <w:rtl/>
        </w:rPr>
        <w:t>".</w:t>
      </w:r>
    </w:p>
    <w:p w:rsidR="00944FC1" w:rsidRPr="00944FC1" w:rsidRDefault="00944FC1" w:rsidP="00944FC1">
      <w:pPr>
        <w:spacing w:after="0" w:line="360" w:lineRule="auto"/>
        <w:ind w:left="360"/>
        <w:jc w:val="both"/>
        <w:rPr>
          <w:rFonts w:ascii="David" w:eastAsia="Calibri" w:hAnsi="David" w:cs="David"/>
          <w:sz w:val="24"/>
          <w:szCs w:val="24"/>
          <w:highlight w:val="lightGray"/>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כלל ההשתק השיפוטי חל גם במקום בו העלה בעל דין טענה בהליך שיפוטי ובהמשך צמחה לו טובת הנאה במסגרת הסכם פשרה שנכרת באותו הליך (בר"מ</w:t>
      </w:r>
      <w:r w:rsidRPr="00944FC1">
        <w:rPr>
          <w:rFonts w:ascii="David" w:eastAsia="Calibri" w:hAnsi="David" w:cs="David"/>
          <w:b/>
          <w:bCs/>
          <w:sz w:val="24"/>
          <w:szCs w:val="24"/>
          <w:rtl/>
        </w:rPr>
        <w:t xml:space="preserve"> </w:t>
      </w:r>
      <w:r w:rsidRPr="00944FC1">
        <w:rPr>
          <w:rFonts w:ascii="David" w:eastAsia="Calibri" w:hAnsi="David" w:cs="David"/>
          <w:sz w:val="24"/>
          <w:szCs w:val="24"/>
          <w:rtl/>
        </w:rPr>
        <w:t>8689/14</w:t>
      </w:r>
      <w:r w:rsidRPr="00944FC1">
        <w:rPr>
          <w:rFonts w:ascii="David" w:eastAsia="Calibri" w:hAnsi="David" w:cs="David"/>
          <w:b/>
          <w:bCs/>
          <w:sz w:val="24"/>
          <w:szCs w:val="24"/>
          <w:rtl/>
        </w:rPr>
        <w:t xml:space="preserve"> ‏הוועדה המקומית לתכנון ובניה מגדל העמק נ' מבני תעשיה בע"מ</w:t>
      </w:r>
      <w:r w:rsidRPr="00944FC1">
        <w:rPr>
          <w:rFonts w:ascii="David" w:eastAsia="Calibri" w:hAnsi="David" w:cs="David"/>
          <w:sz w:val="24"/>
          <w:szCs w:val="24"/>
          <w:rtl/>
        </w:rPr>
        <w:t xml:space="preserve"> </w:t>
      </w:r>
      <w:r w:rsidRPr="00944FC1">
        <w:rPr>
          <w:rFonts w:ascii="David" w:eastAsia="Calibri" w:hAnsi="David" w:cs="David"/>
          <w:sz w:val="24"/>
          <w:szCs w:val="24"/>
        </w:rPr>
        <w:t>4.5.2015)</w:t>
      </w:r>
      <w:r w:rsidRPr="00944FC1">
        <w:rPr>
          <w:rFonts w:ascii="David" w:eastAsia="Calibri" w:hAnsi="David" w:cs="David"/>
          <w:sz w:val="24"/>
          <w:szCs w:val="24"/>
          <w:rtl/>
        </w:rPr>
        <w:t>) ור' גם חוות דעתו של כב' השופט סולברג ברע"א 6557/20 </w:t>
      </w:r>
      <w:r w:rsidRPr="00944FC1">
        <w:rPr>
          <w:rFonts w:ascii="David" w:eastAsia="Calibri" w:hAnsi="David" w:cs="David"/>
          <w:b/>
          <w:bCs/>
          <w:sz w:val="24"/>
          <w:szCs w:val="24"/>
          <w:rtl/>
        </w:rPr>
        <w:t>ערוץ 10 החדש בע"מ</w:t>
      </w:r>
      <w:r w:rsidRPr="00944FC1">
        <w:rPr>
          <w:rFonts w:ascii="David" w:eastAsia="Calibri" w:hAnsi="David" w:cs="David"/>
          <w:sz w:val="24"/>
          <w:szCs w:val="24"/>
          <w:rtl/>
        </w:rPr>
        <w:t> נ</w:t>
      </w:r>
      <w:r w:rsidRPr="00944FC1">
        <w:rPr>
          <w:rFonts w:ascii="David" w:eastAsia="Calibri" w:hAnsi="David" w:cs="David"/>
          <w:sz w:val="24"/>
          <w:szCs w:val="24"/>
        </w:rPr>
        <w:t xml:space="preserve"> ' </w:t>
      </w:r>
      <w:r w:rsidRPr="00944FC1">
        <w:rPr>
          <w:rFonts w:ascii="David" w:eastAsia="Calibri" w:hAnsi="David" w:cs="David"/>
          <w:b/>
          <w:bCs/>
          <w:sz w:val="24"/>
          <w:szCs w:val="24"/>
          <w:rtl/>
        </w:rPr>
        <w:t>שרת התרבות והספורט - ח"כ מירי רגב</w:t>
      </w:r>
      <w:r w:rsidRPr="00944FC1">
        <w:rPr>
          <w:rFonts w:ascii="David" w:eastAsia="Calibri" w:hAnsi="David" w:cs="David"/>
          <w:sz w:val="24"/>
          <w:szCs w:val="24"/>
          <w:rtl/>
        </w:rPr>
        <w:t xml:space="preserve"> </w:t>
      </w:r>
      <w:bookmarkStart w:id="3" w:name="Nitan"/>
      <w:r w:rsidRPr="00944FC1">
        <w:rPr>
          <w:rFonts w:ascii="David" w:eastAsia="Calibri" w:hAnsi="David" w:cs="David"/>
          <w:sz w:val="24"/>
          <w:szCs w:val="24"/>
        </w:rPr>
        <w:t>13.3.2024</w:t>
      </w:r>
      <w:bookmarkEnd w:id="3"/>
      <w:r w:rsidRPr="00944FC1">
        <w:rPr>
          <w:rFonts w:ascii="David" w:eastAsia="Calibri" w:hAnsi="David" w:cs="David"/>
          <w:sz w:val="24"/>
          <w:szCs w:val="24"/>
        </w:rPr>
        <w:t>)</w:t>
      </w:r>
      <w:r w:rsidRPr="00944FC1">
        <w:rPr>
          <w:rFonts w:ascii="David" w:eastAsia="Calibri" w:hAnsi="David" w:cs="David"/>
          <w:sz w:val="24"/>
          <w:szCs w:val="24"/>
          <w:rtl/>
        </w:rPr>
        <w:t>)).</w:t>
      </w:r>
    </w:p>
    <w:p w:rsidR="00944FC1" w:rsidRPr="00944FC1" w:rsidRDefault="00944FC1" w:rsidP="00944FC1">
      <w:pPr>
        <w:spacing w:after="0" w:line="360" w:lineRule="auto"/>
        <w:ind w:left="501"/>
        <w:contextualSpacing/>
        <w:mirrorIndents/>
        <w:jc w:val="both"/>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טענות התובעים לזכויות </w:t>
      </w:r>
      <w:r>
        <w:rPr>
          <w:rFonts w:ascii="David" w:eastAsia="Calibri" w:hAnsi="David" w:cs="David"/>
          <w:sz w:val="24"/>
          <w:szCs w:val="24"/>
          <w:rtl/>
        </w:rPr>
        <w:t>מ.</w:t>
      </w:r>
      <w:r w:rsidRPr="00944FC1">
        <w:rPr>
          <w:rFonts w:ascii="David" w:eastAsia="Calibri" w:hAnsi="David" w:cs="David"/>
          <w:sz w:val="24"/>
          <w:szCs w:val="24"/>
          <w:rtl/>
        </w:rPr>
        <w:t xml:space="preserve"> בנכס בדרך העצמאות עומדות בסתירה מהותית להצהרותיו המפורשות של </w:t>
      </w:r>
      <w:r>
        <w:rPr>
          <w:rFonts w:ascii="David" w:eastAsia="Calibri" w:hAnsi="David" w:cs="David"/>
          <w:sz w:val="24"/>
          <w:szCs w:val="24"/>
          <w:rtl/>
        </w:rPr>
        <w:t>מ.</w:t>
      </w:r>
      <w:r w:rsidRPr="00944FC1">
        <w:rPr>
          <w:rFonts w:ascii="David" w:eastAsia="Calibri" w:hAnsi="David" w:cs="David"/>
          <w:sz w:val="24"/>
          <w:szCs w:val="24"/>
          <w:rtl/>
        </w:rPr>
        <w:t xml:space="preserve"> בהליך משפטי קודם. </w:t>
      </w:r>
      <w:r>
        <w:rPr>
          <w:rFonts w:ascii="David" w:eastAsia="Calibri" w:hAnsi="David" w:cs="David"/>
          <w:sz w:val="24"/>
          <w:szCs w:val="24"/>
          <w:rtl/>
        </w:rPr>
        <w:t>מ.</w:t>
      </w:r>
      <w:r w:rsidRPr="00944FC1">
        <w:rPr>
          <w:rFonts w:ascii="David" w:eastAsia="Calibri" w:hAnsi="David" w:cs="David"/>
          <w:sz w:val="24"/>
          <w:szCs w:val="24"/>
          <w:rtl/>
        </w:rPr>
        <w:t xml:space="preserve"> טען בכתב ההגנה שהגיש שאין לו זכויות בנכס בדרך העצמאות. יתרה מזאת, </w:t>
      </w:r>
      <w:r>
        <w:rPr>
          <w:rFonts w:ascii="David" w:eastAsia="Calibri" w:hAnsi="David" w:cs="David"/>
          <w:sz w:val="24"/>
          <w:szCs w:val="24"/>
          <w:rtl/>
        </w:rPr>
        <w:t>מ.</w:t>
      </w:r>
      <w:r w:rsidRPr="00944FC1">
        <w:rPr>
          <w:rFonts w:ascii="David" w:eastAsia="Calibri" w:hAnsi="David" w:cs="David"/>
          <w:sz w:val="24"/>
          <w:szCs w:val="24"/>
          <w:rtl/>
        </w:rPr>
        <w:t xml:space="preserve"> הבהיר כי </w:t>
      </w:r>
      <w:r>
        <w:rPr>
          <w:rFonts w:ascii="David" w:eastAsia="Calibri" w:hAnsi="David" w:cs="David"/>
          <w:sz w:val="24"/>
          <w:szCs w:val="24"/>
          <w:rtl/>
        </w:rPr>
        <w:t>ח.</w:t>
      </w:r>
      <w:r w:rsidRPr="00944FC1">
        <w:rPr>
          <w:rFonts w:ascii="David" w:eastAsia="Calibri" w:hAnsi="David" w:cs="David"/>
          <w:sz w:val="24"/>
          <w:szCs w:val="24"/>
          <w:rtl/>
        </w:rPr>
        <w:t xml:space="preserve"> הוא שצבר כספים ונכסים בהיקף רב, וכי הנכס נרכש </w:t>
      </w:r>
      <w:r w:rsidRPr="00944FC1">
        <w:rPr>
          <w:rFonts w:ascii="David" w:eastAsia="Calibri" w:hAnsi="David" w:cs="David"/>
          <w:sz w:val="24"/>
          <w:szCs w:val="24"/>
          <w:rtl/>
        </w:rPr>
        <w:lastRenderedPageBreak/>
        <w:t xml:space="preserve">על ידי </w:t>
      </w:r>
      <w:r>
        <w:rPr>
          <w:rFonts w:ascii="David" w:eastAsia="Calibri" w:hAnsi="David" w:cs="David"/>
          <w:sz w:val="24"/>
          <w:szCs w:val="24"/>
          <w:rtl/>
        </w:rPr>
        <w:t>ח.</w:t>
      </w:r>
      <w:r w:rsidRPr="00944FC1">
        <w:rPr>
          <w:rFonts w:ascii="David" w:eastAsia="Calibri" w:hAnsi="David" w:cs="David"/>
          <w:sz w:val="24"/>
          <w:szCs w:val="24"/>
          <w:rtl/>
        </w:rPr>
        <w:t xml:space="preserve">, בכספים השייכים לו ולאשתו </w:t>
      </w:r>
      <w:r>
        <w:rPr>
          <w:rFonts w:ascii="David" w:eastAsia="Calibri" w:hAnsi="David" w:cs="David"/>
          <w:sz w:val="24"/>
          <w:szCs w:val="24"/>
          <w:rtl/>
        </w:rPr>
        <w:t>א.</w:t>
      </w:r>
      <w:r w:rsidRPr="00944FC1">
        <w:rPr>
          <w:rFonts w:ascii="David" w:eastAsia="Calibri" w:hAnsi="David" w:cs="David"/>
          <w:sz w:val="24"/>
          <w:szCs w:val="24"/>
          <w:rtl/>
        </w:rPr>
        <w:t xml:space="preserve">, בשנת 1966. </w:t>
      </w:r>
      <w:r>
        <w:rPr>
          <w:rFonts w:ascii="David" w:eastAsia="Calibri" w:hAnsi="David" w:cs="David"/>
          <w:sz w:val="24"/>
          <w:szCs w:val="24"/>
          <w:rtl/>
        </w:rPr>
        <w:t>מ.</w:t>
      </w:r>
      <w:r w:rsidRPr="00944FC1">
        <w:rPr>
          <w:rFonts w:ascii="David" w:eastAsia="Calibri" w:hAnsi="David" w:cs="David"/>
          <w:sz w:val="24"/>
          <w:szCs w:val="24"/>
          <w:rtl/>
        </w:rPr>
        <w:t xml:space="preserve"> אף הדגיש שמבנה המשרדים במקום נבנה מכספים משותפים של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א.</w:t>
      </w:r>
      <w:r w:rsidRPr="00944FC1">
        <w:rPr>
          <w:rFonts w:ascii="David" w:eastAsia="Calibri" w:hAnsi="David" w:cs="David"/>
          <w:sz w:val="24"/>
          <w:szCs w:val="24"/>
          <w:rtl/>
        </w:rPr>
        <w:t>.</w:t>
      </w:r>
    </w:p>
    <w:p w:rsidR="00944FC1" w:rsidRPr="00944FC1" w:rsidRDefault="00944FC1" w:rsidP="00944FC1">
      <w:pPr>
        <w:spacing w:after="0" w:line="360" w:lineRule="auto"/>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טוענים כי הצהרותיו של </w:t>
      </w:r>
      <w:r>
        <w:rPr>
          <w:rFonts w:ascii="David" w:eastAsia="Calibri" w:hAnsi="David" w:cs="David"/>
          <w:sz w:val="24"/>
          <w:szCs w:val="24"/>
          <w:rtl/>
        </w:rPr>
        <w:t>מ.</w:t>
      </w:r>
      <w:r w:rsidRPr="00944FC1">
        <w:rPr>
          <w:rFonts w:ascii="David" w:eastAsia="Calibri" w:hAnsi="David" w:cs="David"/>
          <w:sz w:val="24"/>
          <w:szCs w:val="24"/>
          <w:rtl/>
        </w:rPr>
        <w:t xml:space="preserve"> בתביעה הרכושית צריכות להתפרש כבלתי אמינות או כחסרות תוקף. לטענתם </w:t>
      </w:r>
      <w:r>
        <w:rPr>
          <w:rFonts w:ascii="David" w:eastAsia="Calibri" w:hAnsi="David" w:cs="David"/>
          <w:sz w:val="24"/>
          <w:szCs w:val="24"/>
          <w:rtl/>
        </w:rPr>
        <w:t>מ.</w:t>
      </w:r>
      <w:r w:rsidRPr="00944FC1">
        <w:rPr>
          <w:rFonts w:ascii="David" w:eastAsia="Calibri" w:hAnsi="David" w:cs="David"/>
          <w:sz w:val="24"/>
          <w:szCs w:val="24"/>
          <w:rtl/>
        </w:rPr>
        <w:t xml:space="preserve"> "אולץ" לחתום על הצהרות שקריות בשל רצונו לחמוק מתשלום כספים לאשתו, אך הם לא ביססו טענה זו בראיות.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לפיכך מתקיימים בענייננו כל תנאי כלל ההשתק השיפוטי: הצהרותיו של </w:t>
      </w:r>
      <w:r>
        <w:rPr>
          <w:rFonts w:ascii="David" w:eastAsia="Calibri" w:hAnsi="David" w:cs="David"/>
          <w:sz w:val="24"/>
          <w:szCs w:val="24"/>
          <w:rtl/>
        </w:rPr>
        <w:t>מ.</w:t>
      </w:r>
      <w:r w:rsidRPr="00944FC1">
        <w:rPr>
          <w:rFonts w:ascii="David" w:eastAsia="Calibri" w:hAnsi="David" w:cs="David"/>
          <w:sz w:val="24"/>
          <w:szCs w:val="24"/>
          <w:rtl/>
        </w:rPr>
        <w:t xml:space="preserve"> בדבר היעדר זכויות בנכסים היוו חלק מרכזי מהגנתו בתביעה הרכושית, ולא היו בגדר אמירות אגב או טענות משניות; </w:t>
      </w:r>
      <w:r>
        <w:rPr>
          <w:rFonts w:ascii="David" w:eastAsia="Calibri" w:hAnsi="David" w:cs="David"/>
          <w:sz w:val="24"/>
          <w:szCs w:val="24"/>
          <w:rtl/>
        </w:rPr>
        <w:t>מ.</w:t>
      </w:r>
      <w:r w:rsidRPr="00944FC1">
        <w:rPr>
          <w:rFonts w:ascii="David" w:eastAsia="Calibri" w:hAnsi="David" w:cs="David"/>
          <w:sz w:val="24"/>
          <w:szCs w:val="24"/>
          <w:rtl/>
        </w:rPr>
        <w:t xml:space="preserve"> הפיק טובת הנאה ממשית שכן בעקבות טענות אלו ויתרה </w:t>
      </w:r>
      <w:r>
        <w:rPr>
          <w:rFonts w:ascii="David" w:eastAsia="Calibri" w:hAnsi="David" w:cs="David"/>
          <w:sz w:val="24"/>
          <w:szCs w:val="24"/>
          <w:rtl/>
        </w:rPr>
        <w:t>ע.</w:t>
      </w:r>
      <w:r w:rsidRPr="00944FC1">
        <w:rPr>
          <w:rFonts w:ascii="David" w:eastAsia="Calibri" w:hAnsi="David" w:cs="David"/>
          <w:sz w:val="24"/>
          <w:szCs w:val="24"/>
          <w:rtl/>
        </w:rPr>
        <w:t xml:space="preserve"> על טענותיה לזכויות בנכס ואין לו אזכור בהסכם הגירושין שנחתם בין </w:t>
      </w:r>
      <w:r>
        <w:rPr>
          <w:rFonts w:ascii="David" w:eastAsia="Calibri" w:hAnsi="David" w:cs="David"/>
          <w:sz w:val="24"/>
          <w:szCs w:val="24"/>
          <w:rtl/>
        </w:rPr>
        <w:t>ח.</w:t>
      </w:r>
      <w:r w:rsidRPr="00944FC1">
        <w:rPr>
          <w:rFonts w:ascii="David" w:eastAsia="Calibri" w:hAnsi="David" w:cs="David"/>
          <w:sz w:val="24"/>
          <w:szCs w:val="24"/>
          <w:rtl/>
        </w:rPr>
        <w:t xml:space="preserve"> ל</w:t>
      </w:r>
      <w:r>
        <w:rPr>
          <w:rFonts w:ascii="David" w:eastAsia="Calibri" w:hAnsi="David" w:cs="David"/>
          <w:sz w:val="24"/>
          <w:szCs w:val="24"/>
          <w:rtl/>
        </w:rPr>
        <w:t>ע.</w:t>
      </w:r>
      <w:r w:rsidRPr="00944FC1">
        <w:rPr>
          <w:rFonts w:ascii="David" w:eastAsia="Calibri" w:hAnsi="David" w:cs="David"/>
          <w:sz w:val="24"/>
          <w:szCs w:val="24"/>
          <w:rtl/>
        </w:rPr>
        <w:t xml:space="preserve">. התובעים  אינם טוענים ששוויו של נכס זה שוקלל במסגרת הסכום ששילם </w:t>
      </w:r>
      <w:r>
        <w:rPr>
          <w:rFonts w:ascii="David" w:eastAsia="Calibri" w:hAnsi="David" w:cs="David"/>
          <w:sz w:val="24"/>
          <w:szCs w:val="24"/>
          <w:rtl/>
        </w:rPr>
        <w:t>מ.</w:t>
      </w:r>
      <w:r w:rsidRPr="00944FC1">
        <w:rPr>
          <w:rFonts w:ascii="David" w:eastAsia="Calibri" w:hAnsi="David" w:cs="David"/>
          <w:sz w:val="24"/>
          <w:szCs w:val="24"/>
          <w:rtl/>
        </w:rPr>
        <w:t xml:space="preserve"> ל</w:t>
      </w:r>
      <w:r>
        <w:rPr>
          <w:rFonts w:ascii="David" w:eastAsia="Calibri" w:hAnsi="David" w:cs="David"/>
          <w:sz w:val="24"/>
          <w:szCs w:val="24"/>
          <w:rtl/>
        </w:rPr>
        <w:t>ע.</w:t>
      </w:r>
      <w:r w:rsidRPr="00944FC1">
        <w:rPr>
          <w:rFonts w:ascii="David" w:eastAsia="Calibri" w:hAnsi="David" w:cs="David"/>
          <w:sz w:val="24"/>
          <w:szCs w:val="24"/>
          <w:rtl/>
        </w:rPr>
        <w:t xml:space="preserve"> ואף </w:t>
      </w:r>
      <w:r>
        <w:rPr>
          <w:rFonts w:ascii="David" w:eastAsia="Calibri" w:hAnsi="David" w:cs="David"/>
          <w:sz w:val="24"/>
          <w:szCs w:val="24"/>
          <w:rtl/>
        </w:rPr>
        <w:t>ע.</w:t>
      </w:r>
      <w:r w:rsidRPr="00944FC1">
        <w:rPr>
          <w:rFonts w:ascii="David" w:eastAsia="Calibri" w:hAnsi="David" w:cs="David"/>
          <w:sz w:val="24"/>
          <w:szCs w:val="24"/>
          <w:rtl/>
        </w:rPr>
        <w:t xml:space="preserve"> שהעידה מטעמם אינה טוענת זאת; נראה שאין מדובר בטובת ההנאה שולית וזניחה;  קיימת סתירה מהותית בין טענות </w:t>
      </w:r>
      <w:r>
        <w:rPr>
          <w:rFonts w:ascii="David" w:eastAsia="Calibri" w:hAnsi="David" w:cs="David"/>
          <w:sz w:val="24"/>
          <w:szCs w:val="24"/>
          <w:rtl/>
        </w:rPr>
        <w:t>מ.</w:t>
      </w:r>
      <w:r w:rsidRPr="00944FC1">
        <w:rPr>
          <w:rFonts w:ascii="David" w:eastAsia="Calibri" w:hAnsi="David" w:cs="David"/>
          <w:sz w:val="24"/>
          <w:szCs w:val="24"/>
          <w:rtl/>
        </w:rPr>
        <w:t xml:space="preserve"> בתביעה הרכושית לבין טענות יורשיו בהליך הנוכחי; החלת כלל ההשתק השיפוטי במקרה זה משרתת את תכליותיו: מניעת טענות סותרות, שמירה על טוהר ההליך השיפוטי, ומניעת תוצאה  בלתי צודקת. </w:t>
      </w:r>
    </w:p>
    <w:p w:rsidR="00944FC1" w:rsidRPr="00944FC1" w:rsidRDefault="00944FC1" w:rsidP="00944FC1">
      <w:pPr>
        <w:spacing w:after="0" w:line="360" w:lineRule="auto"/>
        <w:ind w:left="501"/>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אומנם, בעל דין מנוע מלהעלות טענה לקיומו של השתק שיפוטי, כאשר </w:t>
      </w:r>
      <w:r w:rsidRPr="00944FC1">
        <w:rPr>
          <w:rFonts w:ascii="David" w:eastAsia="Calibri" w:hAnsi="David" w:cs="David"/>
          <w:sz w:val="24"/>
          <w:szCs w:val="24"/>
        </w:rPr>
        <w:t>"</w:t>
      </w:r>
      <w:r w:rsidRPr="00944FC1">
        <w:rPr>
          <w:rFonts w:ascii="David" w:eastAsia="Calibri" w:hAnsi="David" w:cs="David"/>
          <w:b/>
          <w:bCs/>
          <w:sz w:val="24"/>
          <w:szCs w:val="24"/>
          <w:rtl/>
        </w:rPr>
        <w:t>ידיהם של שני הצדדים טבולות בקשר חוזי פסול שמטרתו להטעות אחרים ולפגוע בזכויותיהם</w:t>
      </w:r>
      <w:r w:rsidRPr="00944FC1">
        <w:rPr>
          <w:rFonts w:ascii="David" w:eastAsia="Calibri" w:hAnsi="David" w:cs="David"/>
          <w:sz w:val="24"/>
          <w:szCs w:val="24"/>
        </w:rPr>
        <w:t>) "</w:t>
      </w:r>
      <w:r w:rsidRPr="00944FC1">
        <w:rPr>
          <w:rFonts w:ascii="David" w:eastAsia="Calibri" w:hAnsi="David" w:cs="David"/>
          <w:sz w:val="24"/>
          <w:szCs w:val="24"/>
          <w:rtl/>
        </w:rPr>
        <w:t>ע"א 4170/14</w:t>
      </w:r>
      <w:r w:rsidRPr="00944FC1">
        <w:rPr>
          <w:rFonts w:ascii="David" w:eastAsia="Calibri" w:hAnsi="David" w:cs="David"/>
          <w:b/>
          <w:bCs/>
          <w:sz w:val="24"/>
          <w:szCs w:val="24"/>
        </w:rPr>
        <w:t> </w:t>
      </w:r>
      <w:r w:rsidRPr="00944FC1">
        <w:rPr>
          <w:rFonts w:ascii="David" w:eastAsia="Calibri" w:hAnsi="David" w:cs="David"/>
          <w:b/>
          <w:bCs/>
          <w:sz w:val="24"/>
          <w:szCs w:val="24"/>
          <w:rtl/>
        </w:rPr>
        <w:t>כהן נ' כהן</w:t>
      </w:r>
      <w:r w:rsidRPr="00944FC1">
        <w:rPr>
          <w:rFonts w:ascii="David" w:eastAsia="Calibri" w:hAnsi="David" w:cs="David"/>
          <w:sz w:val="24"/>
          <w:szCs w:val="24"/>
        </w:rPr>
        <w:t> (14.1.2016)</w:t>
      </w:r>
      <w:r w:rsidRPr="00944FC1">
        <w:rPr>
          <w:rFonts w:ascii="David" w:eastAsia="Calibri" w:hAnsi="David" w:cs="David"/>
          <w:sz w:val="24"/>
          <w:szCs w:val="24"/>
          <w:rtl/>
        </w:rPr>
        <w:t>,</w:t>
      </w:r>
      <w:r w:rsidRPr="00944FC1">
        <w:rPr>
          <w:rFonts w:ascii="David" w:eastAsia="Calibri" w:hAnsi="David" w:cs="David"/>
          <w:sz w:val="24"/>
          <w:szCs w:val="24"/>
        </w:rPr>
        <w:t> </w:t>
      </w:r>
      <w:r w:rsidRPr="00944FC1">
        <w:rPr>
          <w:rFonts w:ascii="David" w:eastAsia="Calibri" w:hAnsi="David" w:cs="David"/>
          <w:sz w:val="24"/>
          <w:szCs w:val="24"/>
          <w:rtl/>
        </w:rPr>
        <w:t>רעא 4705/22</w:t>
      </w:r>
      <w:r w:rsidRPr="00944FC1">
        <w:rPr>
          <w:rFonts w:ascii="David" w:eastAsia="Calibri" w:hAnsi="David" w:cs="David"/>
          <w:b/>
          <w:bCs/>
          <w:sz w:val="24"/>
          <w:szCs w:val="24"/>
          <w:rtl/>
        </w:rPr>
        <w:t xml:space="preserve"> ‏  אליהו נ' ישראל-פור (אליהו)‏</w:t>
      </w:r>
      <w:r w:rsidRPr="00944FC1">
        <w:rPr>
          <w:rFonts w:ascii="David" w:eastAsia="Calibri" w:hAnsi="David" w:cs="David"/>
          <w:sz w:val="24"/>
          <w:szCs w:val="24"/>
          <w:rtl/>
        </w:rPr>
        <w:t xml:space="preserve"> (‏29.9.2022)). ואולם בענייננו</w:t>
      </w:r>
      <w:r w:rsidRPr="00944FC1">
        <w:rPr>
          <w:rFonts w:ascii="David" w:eastAsia="Calibri" w:hAnsi="David" w:cs="David" w:hint="cs"/>
          <w:sz w:val="24"/>
          <w:szCs w:val="24"/>
          <w:rtl/>
        </w:rPr>
        <w:t xml:space="preserve"> </w:t>
      </w:r>
      <w:r w:rsidRPr="00944FC1">
        <w:rPr>
          <w:rFonts w:ascii="David" w:eastAsia="Calibri" w:hAnsi="David" w:cs="David"/>
          <w:sz w:val="24"/>
          <w:szCs w:val="24"/>
          <w:rtl/>
        </w:rPr>
        <w:t>התובעים לא הוכיחו שהיו ל</w:t>
      </w:r>
      <w:r>
        <w:rPr>
          <w:rFonts w:ascii="David" w:eastAsia="Calibri" w:hAnsi="David" w:cs="David"/>
          <w:sz w:val="24"/>
          <w:szCs w:val="24"/>
          <w:rtl/>
        </w:rPr>
        <w:t>מ.</w:t>
      </w:r>
      <w:r w:rsidRPr="00944FC1">
        <w:rPr>
          <w:rFonts w:ascii="David" w:eastAsia="Calibri" w:hAnsi="David" w:cs="David"/>
          <w:sz w:val="24"/>
          <w:szCs w:val="24"/>
          <w:rtl/>
        </w:rPr>
        <w:t xml:space="preserve"> זכויות בנכס בדרך העצמאות ועל כן גם טענתם למרמה משותפת של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מ.</w:t>
      </w:r>
      <w:r w:rsidRPr="00944FC1">
        <w:rPr>
          <w:rFonts w:ascii="David" w:eastAsia="Calibri" w:hAnsi="David" w:cs="David"/>
          <w:sz w:val="24"/>
          <w:szCs w:val="24"/>
          <w:rtl/>
        </w:rPr>
        <w:t xml:space="preserve"> בקשר לנכס זה אינה יכולה לעמוד. לפיכך, לטעמי כלל ההשתק השיפוטי חל בעניינם של התובעים.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8C5037"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התובעים לא הוכיחו את טענתם ש</w:t>
      </w:r>
      <w:r>
        <w:rPr>
          <w:rFonts w:ascii="David" w:eastAsia="Calibri" w:hAnsi="David" w:cs="David"/>
          <w:sz w:val="24"/>
          <w:szCs w:val="24"/>
          <w:rtl/>
        </w:rPr>
        <w:t>מ.</w:t>
      </w:r>
      <w:r w:rsidRPr="00944FC1">
        <w:rPr>
          <w:rFonts w:ascii="David" w:eastAsia="Calibri" w:hAnsi="David" w:cs="David"/>
          <w:sz w:val="24"/>
          <w:szCs w:val="24"/>
          <w:rtl/>
        </w:rPr>
        <w:t xml:space="preserve"> היה שותף בדרך כלשהי לרכישת הנכס; </w:t>
      </w:r>
      <w:r>
        <w:rPr>
          <w:rFonts w:ascii="David" w:eastAsia="Calibri" w:hAnsi="David" w:cs="David"/>
          <w:sz w:val="24"/>
          <w:szCs w:val="24"/>
          <w:rtl/>
        </w:rPr>
        <w:t>ח.</w:t>
      </w:r>
      <w:r w:rsidRPr="00944FC1">
        <w:rPr>
          <w:rFonts w:ascii="David" w:eastAsia="Calibri" w:hAnsi="David" w:cs="David"/>
          <w:sz w:val="24"/>
          <w:szCs w:val="24"/>
          <w:rtl/>
        </w:rPr>
        <w:t xml:space="preserve"> רכש את הנכס בשנת 1966, </w:t>
      </w:r>
      <w:r>
        <w:rPr>
          <w:rFonts w:ascii="David" w:eastAsia="Calibri" w:hAnsi="David" w:cs="David"/>
          <w:sz w:val="24"/>
          <w:szCs w:val="24"/>
          <w:rtl/>
        </w:rPr>
        <w:t>מ.</w:t>
      </w:r>
      <w:r w:rsidRPr="00944FC1">
        <w:rPr>
          <w:rFonts w:ascii="David" w:eastAsia="Calibri" w:hAnsi="David" w:cs="David"/>
          <w:sz w:val="24"/>
          <w:szCs w:val="24"/>
          <w:rtl/>
        </w:rPr>
        <w:t xml:space="preserve"> היה אז חייל בשירות חובה, והדבר היה שנים רבות לפני היכרותו עם </w:t>
      </w:r>
      <w:r>
        <w:rPr>
          <w:rFonts w:ascii="David" w:eastAsia="Calibri" w:hAnsi="David" w:cs="David"/>
          <w:sz w:val="24"/>
          <w:szCs w:val="24"/>
          <w:rtl/>
        </w:rPr>
        <w:t>ע.</w:t>
      </w:r>
      <w:r w:rsidRPr="00944FC1">
        <w:rPr>
          <w:rFonts w:ascii="David" w:eastAsia="Calibri" w:hAnsi="David" w:cs="David"/>
          <w:sz w:val="24"/>
          <w:szCs w:val="24"/>
          <w:rtl/>
        </w:rPr>
        <w:t xml:space="preserve"> (סעיף 16 בכתב ההגנה בתביעה הרכושית). הזכויות בנכס נרשמו על שמו ולאחר מכן ע"ש </w:t>
      </w:r>
      <w:r>
        <w:rPr>
          <w:rFonts w:ascii="David" w:eastAsia="Calibri" w:hAnsi="David" w:cs="David"/>
          <w:sz w:val="24"/>
          <w:szCs w:val="24"/>
          <w:rtl/>
        </w:rPr>
        <w:t>א.</w:t>
      </w:r>
      <w:r w:rsidRPr="00944FC1">
        <w:rPr>
          <w:rFonts w:ascii="David" w:eastAsia="Calibri" w:hAnsi="David" w:cs="David"/>
          <w:sz w:val="24"/>
          <w:szCs w:val="24"/>
          <w:rtl/>
        </w:rPr>
        <w:t xml:space="preserve">. לפיכך טענת התובעים כאילו הזכויות בנכס זה נרשמו ע"ש </w:t>
      </w:r>
      <w:r>
        <w:rPr>
          <w:rFonts w:ascii="David" w:eastAsia="Calibri" w:hAnsi="David" w:cs="David"/>
          <w:sz w:val="24"/>
          <w:szCs w:val="24"/>
          <w:rtl/>
        </w:rPr>
        <w:t>ח.</w:t>
      </w:r>
      <w:r w:rsidRPr="00944FC1">
        <w:rPr>
          <w:rFonts w:ascii="David" w:eastAsia="Calibri" w:hAnsi="David" w:cs="David"/>
          <w:sz w:val="24"/>
          <w:szCs w:val="24"/>
          <w:rtl/>
        </w:rPr>
        <w:t xml:space="preserve"> על רקע חוסר האמון של </w:t>
      </w:r>
      <w:r>
        <w:rPr>
          <w:rFonts w:ascii="David" w:eastAsia="Calibri" w:hAnsi="David" w:cs="David"/>
          <w:sz w:val="24"/>
          <w:szCs w:val="24"/>
          <w:rtl/>
        </w:rPr>
        <w:t>ח.</w:t>
      </w:r>
      <w:r w:rsidRPr="00944FC1">
        <w:rPr>
          <w:rFonts w:ascii="David" w:eastAsia="Calibri" w:hAnsi="David" w:cs="David"/>
          <w:sz w:val="24"/>
          <w:szCs w:val="24"/>
          <w:rtl/>
        </w:rPr>
        <w:t xml:space="preserve"> או </w:t>
      </w:r>
      <w:r w:rsidRPr="008C5037">
        <w:rPr>
          <w:rFonts w:ascii="David" w:eastAsia="Calibri" w:hAnsi="David" w:cs="David"/>
          <w:sz w:val="24"/>
          <w:szCs w:val="24"/>
          <w:rtl/>
        </w:rPr>
        <w:t xml:space="preserve">סבא </w:t>
      </w:r>
      <w:r w:rsidR="00402910">
        <w:rPr>
          <w:rFonts w:ascii="David" w:eastAsia="Calibri" w:hAnsi="David" w:cs="David"/>
          <w:sz w:val="24"/>
          <w:szCs w:val="24"/>
          <w:rtl/>
        </w:rPr>
        <w:t>נ'</w:t>
      </w:r>
      <w:r w:rsidRPr="008C5037">
        <w:rPr>
          <w:rFonts w:ascii="David" w:eastAsia="Calibri" w:hAnsi="David" w:cs="David"/>
          <w:sz w:val="24"/>
          <w:szCs w:val="24"/>
          <w:rtl/>
        </w:rPr>
        <w:t xml:space="preserve"> בע. (סעיף 22 בכתב התביעה) -אינה יכולה לעמוד. משמעות טענתם של התובעים היא שח. וסבא </w:t>
      </w:r>
      <w:r w:rsidR="00402910">
        <w:rPr>
          <w:rFonts w:ascii="David" w:eastAsia="Calibri" w:hAnsi="David" w:cs="David"/>
          <w:sz w:val="24"/>
          <w:szCs w:val="24"/>
          <w:rtl/>
        </w:rPr>
        <w:t>נ'</w:t>
      </w:r>
      <w:r w:rsidRPr="008C5037">
        <w:rPr>
          <w:rFonts w:ascii="David" w:eastAsia="Calibri" w:hAnsi="David" w:cs="David"/>
          <w:sz w:val="24"/>
          <w:szCs w:val="24"/>
          <w:rtl/>
        </w:rPr>
        <w:t xml:space="preserve"> התכוונו להבריח נכסים מאישה שמ. טרם פגש בה. </w:t>
      </w:r>
    </w:p>
    <w:p w:rsidR="00944FC1" w:rsidRPr="008C5037" w:rsidRDefault="00944FC1" w:rsidP="00944FC1">
      <w:pPr>
        <w:spacing w:after="0" w:line="360" w:lineRule="auto"/>
        <w:ind w:left="720"/>
        <w:contextualSpacing/>
        <w:rPr>
          <w:rFonts w:ascii="David" w:eastAsia="Calibri" w:hAnsi="David" w:cs="David"/>
          <w:sz w:val="24"/>
          <w:szCs w:val="24"/>
          <w:rtl/>
        </w:rPr>
      </w:pPr>
    </w:p>
    <w:p w:rsidR="00944FC1" w:rsidRPr="008C5037"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8C5037">
        <w:rPr>
          <w:rFonts w:ascii="David" w:eastAsia="Calibri" w:hAnsi="David" w:cs="David"/>
          <w:sz w:val="24"/>
          <w:szCs w:val="24"/>
          <w:rtl/>
        </w:rPr>
        <w:t xml:space="preserve">התובעים טוענים בסיכומים לקיומה של "נאמנות משתמעת", ולשיטתם קיומה של הנאמנות היה בגדר מוסכמה גמורה וחלוטה עשרות בשנים. כדי להוכיח קיומה של נאמנות משתמעת נדרש להוכיח קיומן של נסיבות שונות המגבשות את המסקנה שנאמנות שכזו התקיימה, ובין היתר </w:t>
      </w:r>
      <w:r w:rsidRPr="008C5037">
        <w:rPr>
          <w:rFonts w:ascii="David" w:eastAsia="Calibri" w:hAnsi="David" w:cs="David"/>
          <w:sz w:val="24"/>
          <w:szCs w:val="24"/>
          <w:rtl/>
        </w:rPr>
        <w:lastRenderedPageBreak/>
        <w:t xml:space="preserve">הוכחת מקור מימון הנכס והוכחת שיתוף הנהנה בתקבולים שהתקבלו. כפי שיפורט להלן התובעים לא עמדו בנטל המוטל עליהם. </w:t>
      </w:r>
    </w:p>
    <w:p w:rsidR="00944FC1" w:rsidRPr="008C5037"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b/>
          <w:bCs/>
          <w:sz w:val="24"/>
          <w:szCs w:val="24"/>
          <w:u w:val="single"/>
        </w:rPr>
      </w:pPr>
      <w:r w:rsidRPr="008C5037">
        <w:rPr>
          <w:rFonts w:ascii="David" w:eastAsia="Calibri" w:hAnsi="David" w:cs="David"/>
          <w:sz w:val="24"/>
          <w:szCs w:val="24"/>
          <w:rtl/>
        </w:rPr>
        <w:t xml:space="preserve">התובעים טוענים בסיכומים לקיומה של "קופה משותפת" שבאמצעותה נרכש הנכס בדרך העצמאות ויתר הנכסים נושא התביעה. לשיטתם כל נכס שנרכש בעזרתו של סבא </w:t>
      </w:r>
      <w:r w:rsidR="00402910">
        <w:rPr>
          <w:rFonts w:ascii="David" w:eastAsia="Calibri" w:hAnsi="David" w:cs="David"/>
          <w:sz w:val="24"/>
          <w:szCs w:val="24"/>
          <w:rtl/>
        </w:rPr>
        <w:t>נ'</w:t>
      </w:r>
      <w:r w:rsidRPr="008C5037">
        <w:rPr>
          <w:rFonts w:ascii="David" w:eastAsia="Calibri" w:hAnsi="David" w:cs="David"/>
          <w:sz w:val="24"/>
          <w:szCs w:val="24"/>
          <w:rtl/>
        </w:rPr>
        <w:t xml:space="preserve"> הוא בעצם</w:t>
      </w:r>
      <w:r w:rsidRPr="00944FC1">
        <w:rPr>
          <w:rFonts w:ascii="David" w:eastAsia="Calibri" w:hAnsi="David" w:cs="David"/>
          <w:sz w:val="24"/>
          <w:szCs w:val="24"/>
          <w:rtl/>
        </w:rPr>
        <w:t xml:space="preserve"> נכס משותף ועל כן כל פעם שנמכר נכס כזה ותמורתו שי</w:t>
      </w:r>
      <w:r>
        <w:rPr>
          <w:rFonts w:ascii="David" w:eastAsia="Calibri" w:hAnsi="David" w:cs="David"/>
          <w:sz w:val="24"/>
          <w:szCs w:val="24"/>
          <w:rtl/>
        </w:rPr>
        <w:t>מ.</w:t>
      </w:r>
      <w:r w:rsidRPr="00944FC1">
        <w:rPr>
          <w:rFonts w:ascii="David" w:eastAsia="Calibri" w:hAnsi="David" w:cs="David"/>
          <w:sz w:val="24"/>
          <w:szCs w:val="24"/>
          <w:rtl/>
        </w:rPr>
        <w:t xml:space="preserve"> לרכישת נכס אחר גם הוא הופך למשותף. טענה זו לא הוכחה, לא בקשר לנכס בדרך העצמאות לא בקשר לנכסים אחרים. יתרה מכך, דומה שאף </w:t>
      </w:r>
      <w:r>
        <w:rPr>
          <w:rFonts w:ascii="David" w:eastAsia="Calibri" w:hAnsi="David" w:cs="David"/>
          <w:sz w:val="24"/>
          <w:szCs w:val="24"/>
          <w:rtl/>
        </w:rPr>
        <w:t>מ.</w:t>
      </w:r>
      <w:r w:rsidRPr="00944FC1">
        <w:rPr>
          <w:rFonts w:ascii="David" w:eastAsia="Calibri" w:hAnsi="David" w:cs="David"/>
          <w:sz w:val="24"/>
          <w:szCs w:val="24"/>
          <w:rtl/>
        </w:rPr>
        <w:t xml:space="preserve"> לא טען טענה שכזו בפגישה המשפחתית, אדרבא הוא ניסה להראות שהוא מימן מכספו תשלומים שונים. </w:t>
      </w:r>
    </w:p>
    <w:p w:rsidR="00944FC1" w:rsidRPr="00944FC1" w:rsidRDefault="00944FC1" w:rsidP="00944FC1">
      <w:pPr>
        <w:spacing w:after="0" w:line="360" w:lineRule="auto"/>
        <w:contextualSpacing/>
        <w:rPr>
          <w:rFonts w:ascii="David" w:eastAsia="Calibri" w:hAnsi="David" w:cs="David"/>
          <w:b/>
          <w:bCs/>
          <w:sz w:val="24"/>
          <w:szCs w:val="24"/>
          <w:u w:val="single"/>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b/>
          <w:bCs/>
          <w:sz w:val="24"/>
          <w:szCs w:val="24"/>
          <w:u w:val="single"/>
        </w:rPr>
      </w:pPr>
      <w:r w:rsidRPr="00944FC1">
        <w:rPr>
          <w:rFonts w:ascii="David" w:eastAsia="Calibri" w:hAnsi="David" w:cs="David"/>
          <w:sz w:val="24"/>
          <w:szCs w:val="24"/>
          <w:rtl/>
        </w:rPr>
        <w:t xml:space="preserve">בהתאם לגרסת התובעים, בשנות ה-60 עבדו שני האחים עם סבא </w:t>
      </w:r>
      <w:r w:rsidR="00402910">
        <w:rPr>
          <w:rFonts w:ascii="David" w:eastAsia="Calibri" w:hAnsi="David" w:cs="David"/>
          <w:sz w:val="24"/>
          <w:szCs w:val="24"/>
          <w:rtl/>
        </w:rPr>
        <w:t>נ'</w:t>
      </w:r>
      <w:r w:rsidRPr="00944FC1">
        <w:rPr>
          <w:rFonts w:ascii="David" w:eastAsia="Calibri" w:hAnsi="David" w:cs="David"/>
          <w:sz w:val="24"/>
          <w:szCs w:val="24"/>
          <w:rtl/>
        </w:rPr>
        <w:t xml:space="preserve"> בנגריה משותפת. </w:t>
      </w:r>
      <w:r w:rsidRPr="00944FC1">
        <w:rPr>
          <w:rFonts w:ascii="David" w:eastAsia="Calibri" w:hAnsi="David" w:cs="David" w:hint="cs"/>
          <w:sz w:val="24"/>
          <w:szCs w:val="24"/>
          <w:rtl/>
        </w:rPr>
        <w:t xml:space="preserve">התובעים אינם </w:t>
      </w:r>
      <w:r w:rsidRPr="00944FC1">
        <w:rPr>
          <w:rFonts w:ascii="David" w:eastAsia="Calibri" w:hAnsi="David" w:cs="David"/>
          <w:sz w:val="24"/>
          <w:szCs w:val="24"/>
          <w:rtl/>
        </w:rPr>
        <w:t xml:space="preserve">סבורים שסבא </w:t>
      </w:r>
      <w:r w:rsidR="00402910">
        <w:rPr>
          <w:rFonts w:ascii="David" w:eastAsia="Calibri" w:hAnsi="David" w:cs="David"/>
          <w:sz w:val="24"/>
          <w:szCs w:val="24"/>
          <w:rtl/>
        </w:rPr>
        <w:t>נ'</w:t>
      </w:r>
      <w:r w:rsidRPr="00944FC1">
        <w:rPr>
          <w:rFonts w:ascii="David" w:eastAsia="Calibri" w:hAnsi="David" w:cs="David"/>
          <w:sz w:val="24"/>
          <w:szCs w:val="24"/>
          <w:rtl/>
        </w:rPr>
        <w:t xml:space="preserve"> חפץ להפלות בין האחים. אין מחלוקת שסבא </w:t>
      </w:r>
      <w:r w:rsidR="00402910">
        <w:rPr>
          <w:rFonts w:ascii="David" w:eastAsia="Calibri" w:hAnsi="David" w:cs="David"/>
          <w:sz w:val="24"/>
          <w:szCs w:val="24"/>
          <w:rtl/>
        </w:rPr>
        <w:t>נ'</w:t>
      </w:r>
      <w:r w:rsidRPr="00944FC1">
        <w:rPr>
          <w:rFonts w:ascii="David" w:eastAsia="Calibri" w:hAnsi="David" w:cs="David"/>
          <w:sz w:val="24"/>
          <w:szCs w:val="24"/>
          <w:rtl/>
        </w:rPr>
        <w:t xml:space="preserve"> סייע ל</w:t>
      </w:r>
      <w:r>
        <w:rPr>
          <w:rFonts w:ascii="David" w:eastAsia="Calibri" w:hAnsi="David" w:cs="David"/>
          <w:sz w:val="24"/>
          <w:szCs w:val="24"/>
          <w:rtl/>
        </w:rPr>
        <w:t>מ.</w:t>
      </w:r>
      <w:r w:rsidRPr="00944FC1">
        <w:rPr>
          <w:rFonts w:ascii="David" w:eastAsia="Calibri" w:hAnsi="David" w:cs="David"/>
          <w:sz w:val="24"/>
          <w:szCs w:val="24"/>
          <w:rtl/>
        </w:rPr>
        <w:t xml:space="preserve"> ונתן לו כספים רבים, </w:t>
      </w:r>
      <w:r>
        <w:rPr>
          <w:rFonts w:ascii="David" w:eastAsia="Calibri" w:hAnsi="David" w:cs="David"/>
          <w:sz w:val="24"/>
          <w:szCs w:val="24"/>
          <w:rtl/>
        </w:rPr>
        <w:t>מ.</w:t>
      </w:r>
      <w:r w:rsidRPr="00944FC1">
        <w:rPr>
          <w:rFonts w:ascii="David" w:eastAsia="Calibri" w:hAnsi="David" w:cs="David"/>
          <w:sz w:val="24"/>
          <w:szCs w:val="24"/>
          <w:rtl/>
        </w:rPr>
        <w:t xml:space="preserve"> אישר שסבא </w:t>
      </w:r>
      <w:r w:rsidR="00402910">
        <w:rPr>
          <w:rFonts w:ascii="David" w:eastAsia="Calibri" w:hAnsi="David" w:cs="David"/>
          <w:sz w:val="24"/>
          <w:szCs w:val="24"/>
          <w:rtl/>
        </w:rPr>
        <w:t>נ'</w:t>
      </w:r>
      <w:r w:rsidRPr="00944FC1">
        <w:rPr>
          <w:rFonts w:ascii="David" w:eastAsia="Calibri" w:hAnsi="David" w:cs="David"/>
          <w:sz w:val="24"/>
          <w:szCs w:val="24"/>
          <w:rtl/>
        </w:rPr>
        <w:t xml:space="preserve"> רכש דירה על שמו (הדירה ברח' מחניים ח.ק.) ואף שני רכבים. בנסיבות אלו </w:t>
      </w:r>
      <w:r w:rsidRPr="00944FC1">
        <w:rPr>
          <w:rFonts w:ascii="David" w:eastAsia="Calibri" w:hAnsi="David" w:cs="David" w:hint="cs"/>
          <w:sz w:val="24"/>
          <w:szCs w:val="24"/>
          <w:rtl/>
        </w:rPr>
        <w:t xml:space="preserve">בהן היו מקרים שבהם נתן סבא </w:t>
      </w:r>
      <w:r w:rsidR="00402910">
        <w:rPr>
          <w:rFonts w:ascii="David" w:eastAsia="Calibri" w:hAnsi="David" w:cs="David" w:hint="cs"/>
          <w:sz w:val="24"/>
          <w:szCs w:val="24"/>
          <w:rtl/>
        </w:rPr>
        <w:t>נ</w:t>
      </w:r>
      <w:r w:rsidR="00402910">
        <w:rPr>
          <w:rFonts w:ascii="David" w:eastAsia="Calibri" w:hAnsi="David" w:cs="David"/>
          <w:sz w:val="24"/>
          <w:szCs w:val="24"/>
          <w:rtl/>
        </w:rPr>
        <w:t>'</w:t>
      </w:r>
      <w:r w:rsidRPr="00944FC1">
        <w:rPr>
          <w:rFonts w:ascii="David" w:eastAsia="Calibri" w:hAnsi="David" w:cs="David" w:hint="cs"/>
          <w:sz w:val="24"/>
          <w:szCs w:val="24"/>
          <w:rtl/>
        </w:rPr>
        <w:t xml:space="preserve"> כספים ל</w:t>
      </w:r>
      <w:r>
        <w:rPr>
          <w:rFonts w:ascii="David" w:eastAsia="Calibri" w:hAnsi="David" w:cs="David" w:hint="cs"/>
          <w:sz w:val="24"/>
          <w:szCs w:val="24"/>
          <w:rtl/>
        </w:rPr>
        <w:t>מ.</w:t>
      </w:r>
      <w:r w:rsidRPr="00944FC1">
        <w:rPr>
          <w:rFonts w:ascii="David" w:eastAsia="Calibri" w:hAnsi="David" w:cs="David" w:hint="cs"/>
          <w:sz w:val="24"/>
          <w:szCs w:val="24"/>
          <w:rtl/>
        </w:rPr>
        <w:t xml:space="preserve"> ישירות -</w:t>
      </w:r>
      <w:r w:rsidRPr="00944FC1">
        <w:rPr>
          <w:rFonts w:ascii="David" w:eastAsia="Calibri" w:hAnsi="David" w:cs="David"/>
          <w:sz w:val="24"/>
          <w:szCs w:val="24"/>
          <w:rtl/>
        </w:rPr>
        <w:t>נראה שלא היה צורך בנאמנות</w:t>
      </w:r>
      <w:r w:rsidRPr="00944FC1">
        <w:rPr>
          <w:rFonts w:ascii="David" w:eastAsia="Calibri" w:hAnsi="David" w:cs="David" w:hint="cs"/>
          <w:sz w:val="24"/>
          <w:szCs w:val="24"/>
          <w:rtl/>
        </w:rPr>
        <w:t xml:space="preserve">. לו </w:t>
      </w:r>
      <w:r w:rsidRPr="00944FC1">
        <w:rPr>
          <w:rFonts w:ascii="David" w:eastAsia="Calibri" w:hAnsi="David" w:cs="David"/>
          <w:sz w:val="24"/>
          <w:szCs w:val="24"/>
          <w:rtl/>
        </w:rPr>
        <w:t xml:space="preserve">אכן היה בכוונת סבא </w:t>
      </w:r>
      <w:r w:rsidR="00402910">
        <w:rPr>
          <w:rFonts w:ascii="David" w:eastAsia="Calibri" w:hAnsi="David" w:cs="David"/>
          <w:sz w:val="24"/>
          <w:szCs w:val="24"/>
          <w:rtl/>
        </w:rPr>
        <w:t>נ'</w:t>
      </w:r>
      <w:r w:rsidRPr="00944FC1">
        <w:rPr>
          <w:rFonts w:ascii="David" w:eastAsia="Calibri" w:hAnsi="David" w:cs="David"/>
          <w:sz w:val="24"/>
          <w:szCs w:val="24"/>
          <w:rtl/>
        </w:rPr>
        <w:t xml:space="preserve"> לייעד ל</w:t>
      </w:r>
      <w:r>
        <w:rPr>
          <w:rFonts w:ascii="David" w:eastAsia="Calibri" w:hAnsi="David" w:cs="David"/>
          <w:sz w:val="24"/>
          <w:szCs w:val="24"/>
          <w:rtl/>
        </w:rPr>
        <w:t>מ.</w:t>
      </w:r>
      <w:r w:rsidRPr="00944FC1">
        <w:rPr>
          <w:rFonts w:ascii="David" w:eastAsia="Calibri" w:hAnsi="David" w:cs="David"/>
          <w:sz w:val="24"/>
          <w:szCs w:val="24"/>
          <w:rtl/>
        </w:rPr>
        <w:t xml:space="preserve"> את הכספים שנתן בשנת 1966 לרכישת הנכס בדרך העצמאות, היה הנכס נרשם מלכתחילה בדרך זו. במועד רכישת הנכס לא הייתה כל סיבה לטשטש או להרחיק את בעלותו של </w:t>
      </w:r>
      <w:r>
        <w:rPr>
          <w:rFonts w:ascii="David" w:eastAsia="Calibri" w:hAnsi="David" w:cs="David"/>
          <w:sz w:val="24"/>
          <w:szCs w:val="24"/>
          <w:rtl/>
        </w:rPr>
        <w:t>מ.</w:t>
      </w:r>
      <w:r w:rsidRPr="00944FC1">
        <w:rPr>
          <w:rFonts w:ascii="David" w:eastAsia="Calibri" w:hAnsi="David" w:cs="David"/>
          <w:sz w:val="24"/>
          <w:szCs w:val="24"/>
          <w:rtl/>
        </w:rPr>
        <w:t xml:space="preserve"> בנכס. אומנם היו נקודות זמן שבו התנהלו </w:t>
      </w:r>
      <w:r>
        <w:rPr>
          <w:rFonts w:ascii="David" w:eastAsia="Calibri" w:hAnsi="David" w:cs="David"/>
          <w:sz w:val="24"/>
          <w:szCs w:val="24"/>
          <w:rtl/>
        </w:rPr>
        <w:t>מ.</w:t>
      </w:r>
      <w:r w:rsidRPr="00944FC1">
        <w:rPr>
          <w:rFonts w:ascii="David" w:eastAsia="Calibri" w:hAnsi="David" w:cs="David"/>
          <w:sz w:val="24"/>
          <w:szCs w:val="24"/>
          <w:rtl/>
        </w:rPr>
        <w:t xml:space="preserve"> ו</w:t>
      </w:r>
      <w:r>
        <w:rPr>
          <w:rFonts w:ascii="David" w:eastAsia="Calibri" w:hAnsi="David" w:cs="David"/>
          <w:sz w:val="24"/>
          <w:szCs w:val="24"/>
          <w:rtl/>
        </w:rPr>
        <w:t>ח.</w:t>
      </w:r>
      <w:r w:rsidRPr="00944FC1">
        <w:rPr>
          <w:rFonts w:ascii="David" w:eastAsia="Calibri" w:hAnsi="David" w:cs="David"/>
          <w:sz w:val="24"/>
          <w:szCs w:val="24"/>
          <w:rtl/>
        </w:rPr>
        <w:t xml:space="preserve"> במשותף לצרכים ספציפיים (פתיחת חשבון משותף בבנק הפועלים לבניית הבית הדו משפחתי, ותשלום המזונות ל</w:t>
      </w:r>
      <w:r>
        <w:rPr>
          <w:rFonts w:ascii="David" w:eastAsia="Calibri" w:hAnsi="David" w:cs="David"/>
          <w:sz w:val="24"/>
          <w:szCs w:val="24"/>
          <w:rtl/>
        </w:rPr>
        <w:t>ע.</w:t>
      </w:r>
      <w:r w:rsidRPr="00944FC1">
        <w:rPr>
          <w:rFonts w:ascii="David" w:eastAsia="Calibri" w:hAnsi="David" w:cs="David"/>
          <w:sz w:val="24"/>
          <w:szCs w:val="24"/>
          <w:rtl/>
        </w:rPr>
        <w:t xml:space="preserve"> מחשבון זה) אך קיומה של קופה משותפת כללית או קיומה של קופה כזו בעת רכישת הנכס בדרך העצמאות- לא הוכח. </w:t>
      </w:r>
    </w:p>
    <w:p w:rsidR="00944FC1" w:rsidRPr="00944FC1" w:rsidRDefault="00944FC1" w:rsidP="00944FC1">
      <w:pPr>
        <w:spacing w:after="0" w:line="360" w:lineRule="auto"/>
        <w:ind w:left="720"/>
        <w:contextualSpacing/>
        <w:rPr>
          <w:rFonts w:ascii="David" w:eastAsia="Calibri" w:hAnsi="David" w:cs="David"/>
          <w:b/>
          <w:bCs/>
          <w:sz w:val="24"/>
          <w:szCs w:val="24"/>
          <w:u w:val="single"/>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b/>
          <w:bCs/>
          <w:sz w:val="24"/>
          <w:szCs w:val="24"/>
          <w:u w:val="single"/>
        </w:rPr>
      </w:pPr>
      <w:r>
        <w:rPr>
          <w:rFonts w:ascii="David" w:eastAsia="Calibri" w:hAnsi="David" w:cs="David"/>
          <w:sz w:val="24"/>
          <w:szCs w:val="24"/>
          <w:rtl/>
        </w:rPr>
        <w:t>ח.</w:t>
      </w:r>
      <w:r w:rsidRPr="00944FC1">
        <w:rPr>
          <w:rFonts w:ascii="David" w:eastAsia="Calibri" w:hAnsi="David" w:cs="David"/>
          <w:sz w:val="24"/>
          <w:szCs w:val="24"/>
          <w:rtl/>
        </w:rPr>
        <w:t xml:space="preserve"> לקח על עצמו לדאוג ל</w:t>
      </w:r>
      <w:r>
        <w:rPr>
          <w:rFonts w:ascii="David" w:eastAsia="Calibri" w:hAnsi="David" w:cs="David"/>
          <w:sz w:val="24"/>
          <w:szCs w:val="24"/>
          <w:rtl/>
        </w:rPr>
        <w:t>מ.</w:t>
      </w:r>
      <w:r w:rsidRPr="00944FC1">
        <w:rPr>
          <w:rFonts w:ascii="David" w:eastAsia="Calibri" w:hAnsi="David" w:cs="David"/>
          <w:sz w:val="24"/>
          <w:szCs w:val="24"/>
          <w:rtl/>
        </w:rPr>
        <w:t xml:space="preserve"> ועשה זאת במשך שנים רבות ואולם אין בדאגה ובסיוע שהעמיד לו כבן משפחה קרוב כדי ללמד על קיומה של נאמנות. </w:t>
      </w:r>
    </w:p>
    <w:p w:rsidR="00944FC1" w:rsidRPr="00944FC1" w:rsidRDefault="00944FC1" w:rsidP="00944FC1">
      <w:pPr>
        <w:spacing w:after="0" w:line="360" w:lineRule="auto"/>
        <w:ind w:left="720"/>
        <w:contextualSpacing/>
        <w:rPr>
          <w:rFonts w:ascii="David" w:eastAsia="Calibri" w:hAnsi="David" w:cs="David"/>
          <w:b/>
          <w:bCs/>
          <w:sz w:val="24"/>
          <w:szCs w:val="24"/>
          <w:u w:val="single"/>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b/>
          <w:bCs/>
          <w:sz w:val="24"/>
          <w:szCs w:val="24"/>
          <w:u w:val="single"/>
        </w:rPr>
      </w:pPr>
      <w:r w:rsidRPr="00944FC1">
        <w:rPr>
          <w:rFonts w:ascii="David" w:eastAsia="Calibri" w:hAnsi="David" w:cs="David"/>
          <w:sz w:val="24"/>
          <w:szCs w:val="24"/>
          <w:rtl/>
        </w:rPr>
        <w:t xml:space="preserve">התובעים מוסיפים וטוענים שאין צורך להתחקות אחר מקורות מימון רכישת הנכס שכן בפני בית המשפט "ראית זהב" -דברי האחים בפגישה  המשפחתית המלמדת על כוונתם ליצור יחסי נאמנות בקשר לנכס בדרך העצמאות. </w:t>
      </w:r>
    </w:p>
    <w:p w:rsidR="00944FC1" w:rsidRPr="00944FC1" w:rsidRDefault="00944FC1" w:rsidP="00944FC1">
      <w:pPr>
        <w:spacing w:after="0" w:line="240" w:lineRule="auto"/>
        <w:ind w:left="720"/>
        <w:contextualSpacing/>
        <w:rPr>
          <w:rFonts w:ascii="David" w:eastAsia="Calibri" w:hAnsi="David" w:cs="David"/>
          <w:b/>
          <w:bCs/>
          <w:sz w:val="24"/>
          <w:szCs w:val="24"/>
          <w:u w:val="single"/>
          <w:rtl/>
        </w:rPr>
      </w:pPr>
    </w:p>
    <w:p w:rsidR="00944FC1" w:rsidRPr="00944FC1" w:rsidRDefault="00944FC1" w:rsidP="003463A9">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איני סבורה שהתמליל שצורף תומך בטענת התובעים באופן כה החלטי, ושאינו משתמע לשתי פנים עד כי המסקנה הקונקלוסיבית העולה ממנו היא קיומה של נאמנות. אין בשיחה אישור של </w:t>
      </w:r>
      <w:r>
        <w:rPr>
          <w:rFonts w:ascii="David" w:eastAsia="Calibri" w:hAnsi="David" w:cs="David"/>
          <w:sz w:val="24"/>
          <w:szCs w:val="24"/>
          <w:rtl/>
        </w:rPr>
        <w:t>ח.</w:t>
      </w:r>
      <w:r w:rsidRPr="00944FC1">
        <w:rPr>
          <w:rFonts w:ascii="David" w:eastAsia="Calibri" w:hAnsi="David" w:cs="David"/>
          <w:sz w:val="24"/>
          <w:szCs w:val="24"/>
          <w:rtl/>
        </w:rPr>
        <w:t xml:space="preserve"> כי הזכויות בנכס נרכשו באמצעות כספים של </w:t>
      </w:r>
      <w:r>
        <w:rPr>
          <w:rFonts w:ascii="David" w:eastAsia="Calibri" w:hAnsi="David" w:cs="David"/>
          <w:sz w:val="24"/>
          <w:szCs w:val="24"/>
          <w:rtl/>
        </w:rPr>
        <w:t>מ.</w:t>
      </w:r>
      <w:r w:rsidRPr="00944FC1">
        <w:rPr>
          <w:rFonts w:ascii="David" w:eastAsia="Calibri" w:hAnsi="David" w:cs="David"/>
          <w:sz w:val="24"/>
          <w:szCs w:val="24"/>
          <w:rtl/>
        </w:rPr>
        <w:t xml:space="preserve">. במהלך השיחה עולה שאלת מימון בניית מבנה המשרדים שנבנה במקום. </w:t>
      </w:r>
      <w:r>
        <w:rPr>
          <w:rFonts w:ascii="David" w:eastAsia="Calibri" w:hAnsi="David" w:cs="David"/>
          <w:sz w:val="24"/>
          <w:szCs w:val="24"/>
          <w:rtl/>
        </w:rPr>
        <w:t>ח.</w:t>
      </w:r>
      <w:r w:rsidRPr="00944FC1">
        <w:rPr>
          <w:rFonts w:ascii="David" w:eastAsia="Calibri" w:hAnsi="David" w:cs="David"/>
          <w:sz w:val="24"/>
          <w:szCs w:val="24"/>
          <w:rtl/>
        </w:rPr>
        <w:t xml:space="preserve"> מסביר בדבריו שהוא ו</w:t>
      </w:r>
      <w:r>
        <w:rPr>
          <w:rFonts w:ascii="David" w:eastAsia="Calibri" w:hAnsi="David" w:cs="David"/>
          <w:sz w:val="24"/>
          <w:szCs w:val="24"/>
          <w:rtl/>
        </w:rPr>
        <w:t>א.</w:t>
      </w:r>
      <w:r w:rsidRPr="00944FC1">
        <w:rPr>
          <w:rFonts w:ascii="David" w:eastAsia="Calibri" w:hAnsi="David" w:cs="David"/>
          <w:sz w:val="24"/>
          <w:szCs w:val="24"/>
          <w:rtl/>
        </w:rPr>
        <w:t xml:space="preserve"> הקימו את החברה ובנו את הבניין תוך שהוא מתאר את עבודתה של </w:t>
      </w:r>
      <w:r>
        <w:rPr>
          <w:rFonts w:ascii="David" w:eastAsia="Calibri" w:hAnsi="David" w:cs="David"/>
          <w:sz w:val="24"/>
          <w:szCs w:val="24"/>
          <w:rtl/>
        </w:rPr>
        <w:t>א.</w:t>
      </w:r>
      <w:r w:rsidRPr="00944FC1">
        <w:rPr>
          <w:rFonts w:ascii="David" w:eastAsia="Calibri" w:hAnsi="David" w:cs="David"/>
          <w:sz w:val="24"/>
          <w:szCs w:val="24"/>
          <w:rtl/>
        </w:rPr>
        <w:t xml:space="preserve"> ואת המקורות הכספיים שלה ששימשו למימון הבניה. באשר למימון שנתן </w:t>
      </w:r>
      <w:r>
        <w:rPr>
          <w:rFonts w:ascii="David" w:eastAsia="Calibri" w:hAnsi="David" w:cs="David"/>
          <w:sz w:val="24"/>
          <w:szCs w:val="24"/>
          <w:rtl/>
        </w:rPr>
        <w:t>מ.</w:t>
      </w:r>
      <w:r w:rsidRPr="00944FC1">
        <w:rPr>
          <w:rFonts w:ascii="David" w:eastAsia="Calibri" w:hAnsi="David" w:cs="David"/>
          <w:sz w:val="24"/>
          <w:szCs w:val="24"/>
          <w:rtl/>
        </w:rPr>
        <w:t xml:space="preserve"> הוא מציין כי </w:t>
      </w:r>
      <w:r>
        <w:rPr>
          <w:rFonts w:ascii="David" w:eastAsia="Calibri" w:hAnsi="David" w:cs="David"/>
          <w:sz w:val="24"/>
          <w:szCs w:val="24"/>
          <w:rtl/>
        </w:rPr>
        <w:t>מ.</w:t>
      </w:r>
      <w:r w:rsidRPr="00944FC1">
        <w:rPr>
          <w:rFonts w:ascii="David" w:eastAsia="Calibri" w:hAnsi="David" w:cs="David"/>
          <w:sz w:val="24"/>
          <w:szCs w:val="24"/>
          <w:rtl/>
        </w:rPr>
        <w:t xml:space="preserve"> תרם את "עוצמה ושיאון". על רקע זה הוא מסביר את החלוקה </w:t>
      </w:r>
      <w:r w:rsidRPr="00944FC1">
        <w:rPr>
          <w:rFonts w:ascii="David" w:eastAsia="Calibri" w:hAnsi="David" w:cs="David"/>
          <w:sz w:val="24"/>
          <w:szCs w:val="24"/>
          <w:rtl/>
        </w:rPr>
        <w:lastRenderedPageBreak/>
        <w:t>שהוא ו</w:t>
      </w:r>
      <w:r>
        <w:rPr>
          <w:rFonts w:ascii="David" w:eastAsia="Calibri" w:hAnsi="David" w:cs="David"/>
          <w:sz w:val="24"/>
          <w:szCs w:val="24"/>
          <w:rtl/>
        </w:rPr>
        <w:t>א.</w:t>
      </w:r>
      <w:r w:rsidRPr="00944FC1">
        <w:rPr>
          <w:rFonts w:ascii="David" w:eastAsia="Calibri" w:hAnsi="David" w:cs="David"/>
          <w:sz w:val="24"/>
          <w:szCs w:val="24"/>
          <w:rtl/>
        </w:rPr>
        <w:t xml:space="preserve"> הסכימו לה 60%-40% , ובהמשך הוא מסביר שהחלוקה היא במניות החברה (עמ' 119-115). בהתאמה, בסיכום שנערך בתום הפגישה המשפחתית נכתב "חברת ד</w:t>
      </w:r>
      <w:r w:rsidR="003463A9">
        <w:rPr>
          <w:rFonts w:ascii="David" w:eastAsia="Calibri" w:hAnsi="David" w:cs="David" w:hint="cs"/>
          <w:sz w:val="24"/>
          <w:szCs w:val="24"/>
          <w:rtl/>
        </w:rPr>
        <w:t>.ש.</w:t>
      </w:r>
      <w:r w:rsidRPr="00944FC1">
        <w:rPr>
          <w:rFonts w:ascii="David" w:eastAsia="Calibri" w:hAnsi="David" w:cs="David"/>
          <w:sz w:val="24"/>
          <w:szCs w:val="24"/>
          <w:rtl/>
        </w:rPr>
        <w:t xml:space="preserve"> בע"מ –הכנסות הבניין ברחוב העצמאות </w:t>
      </w:r>
      <w:r w:rsidR="003463A9">
        <w:rPr>
          <w:rFonts w:ascii="David" w:eastAsia="Calibri" w:hAnsi="David" w:cs="David" w:hint="cs"/>
          <w:sz w:val="24"/>
          <w:szCs w:val="24"/>
        </w:rPr>
        <w:t>XX</w:t>
      </w:r>
      <w:r w:rsidRPr="00944FC1">
        <w:rPr>
          <w:rFonts w:ascii="David" w:eastAsia="Calibri" w:hAnsi="David" w:cs="David"/>
          <w:sz w:val="24"/>
          <w:szCs w:val="24"/>
          <w:rtl/>
        </w:rPr>
        <w:t xml:space="preserve"> יחולקו ביחס של 40% ל</w:t>
      </w:r>
      <w:r>
        <w:rPr>
          <w:rFonts w:ascii="David" w:eastAsia="Calibri" w:hAnsi="David" w:cs="David"/>
          <w:sz w:val="24"/>
          <w:szCs w:val="24"/>
          <w:rtl/>
        </w:rPr>
        <w:t>מ.</w:t>
      </w:r>
      <w:r w:rsidRPr="00944FC1">
        <w:rPr>
          <w:rFonts w:ascii="David" w:eastAsia="Calibri" w:hAnsi="David" w:cs="David"/>
          <w:sz w:val="24"/>
          <w:szCs w:val="24"/>
          <w:rtl/>
        </w:rPr>
        <w:t xml:space="preserve"> מ</w:t>
      </w:r>
      <w:r w:rsidR="003463A9">
        <w:rPr>
          <w:rFonts w:ascii="David" w:eastAsia="Calibri" w:hAnsi="David" w:cs="David" w:hint="cs"/>
          <w:sz w:val="24"/>
          <w:szCs w:val="24"/>
          <w:rtl/>
        </w:rPr>
        <w:t>.</w:t>
      </w:r>
      <w:r w:rsidRPr="00944FC1">
        <w:rPr>
          <w:rFonts w:ascii="David" w:eastAsia="Calibri" w:hAnsi="David" w:cs="David"/>
          <w:sz w:val="24"/>
          <w:szCs w:val="24"/>
          <w:rtl/>
        </w:rPr>
        <w:t xml:space="preserve"> ו-60% ל</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א.</w:t>
      </w:r>
      <w:r w:rsidRPr="00944FC1">
        <w:rPr>
          <w:rFonts w:ascii="David" w:eastAsia="Calibri" w:hAnsi="David" w:cs="David"/>
          <w:sz w:val="24"/>
          <w:szCs w:val="24"/>
          <w:rtl/>
        </w:rPr>
        <w:t xml:space="preserve"> מ</w:t>
      </w:r>
      <w:r w:rsidR="003463A9">
        <w:rPr>
          <w:rFonts w:ascii="David" w:eastAsia="Calibri" w:hAnsi="David" w:cs="David" w:hint="cs"/>
          <w:sz w:val="24"/>
          <w:szCs w:val="24"/>
          <w:rtl/>
        </w:rPr>
        <w:t>.</w:t>
      </w:r>
      <w:r w:rsidRPr="00944FC1">
        <w:rPr>
          <w:rFonts w:ascii="David" w:eastAsia="Calibri" w:hAnsi="David" w:cs="David"/>
          <w:sz w:val="24"/>
          <w:szCs w:val="24"/>
          <w:rtl/>
        </w:rPr>
        <w:t xml:space="preserve">". התובעים טוענים שמדובר בלשון של הדיוטות בלבד וכוונת הצדדים הייתה לקבוע את חלוקת הזכויות במקרקעין. איני מקבלת טענה זו. השאלה כיצד יעוגנו זכויותיו של </w:t>
      </w:r>
      <w:r>
        <w:rPr>
          <w:rFonts w:ascii="David" w:eastAsia="Calibri" w:hAnsi="David" w:cs="David"/>
          <w:sz w:val="24"/>
          <w:szCs w:val="24"/>
          <w:rtl/>
        </w:rPr>
        <w:t>מ.</w:t>
      </w:r>
      <w:r w:rsidRPr="00944FC1">
        <w:rPr>
          <w:rFonts w:ascii="David" w:eastAsia="Calibri" w:hAnsi="David" w:cs="David"/>
          <w:sz w:val="24"/>
          <w:szCs w:val="24"/>
          <w:rtl/>
        </w:rPr>
        <w:t xml:space="preserve"> בעקבות השתתפותו במימון הבניה נידונה בשיחה ו</w:t>
      </w:r>
      <w:r>
        <w:rPr>
          <w:rFonts w:ascii="David" w:eastAsia="Calibri" w:hAnsi="David" w:cs="David"/>
          <w:sz w:val="24"/>
          <w:szCs w:val="24"/>
          <w:rtl/>
        </w:rPr>
        <w:t>ח.</w:t>
      </w:r>
      <w:r w:rsidRPr="00944FC1">
        <w:rPr>
          <w:rFonts w:ascii="David" w:eastAsia="Calibri" w:hAnsi="David" w:cs="David"/>
          <w:sz w:val="24"/>
          <w:szCs w:val="24"/>
          <w:rtl/>
        </w:rPr>
        <w:t xml:space="preserve"> הבהיר שהדרך שהוא מסכים לה תהיה בהעברת חלק ממניות החברה לשמו. אין בדברים שנאמרו בשיחה הסכמה לכך ש40% מהזכויות במקרקעין יועברו על שם </w:t>
      </w:r>
      <w:r>
        <w:rPr>
          <w:rFonts w:ascii="David" w:eastAsia="Calibri" w:hAnsi="David" w:cs="David"/>
          <w:sz w:val="24"/>
          <w:szCs w:val="24"/>
          <w:rtl/>
        </w:rPr>
        <w:t>מ.</w:t>
      </w:r>
      <w:r w:rsidRPr="00944FC1">
        <w:rPr>
          <w:rFonts w:ascii="David" w:eastAsia="Calibri" w:hAnsi="David" w:cs="David"/>
          <w:sz w:val="24"/>
          <w:szCs w:val="24"/>
          <w:rtl/>
        </w:rPr>
        <w:t xml:space="preserve">.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מפנים לעמ' 99 בתמליל שם מסביר </w:t>
      </w:r>
      <w:r>
        <w:rPr>
          <w:rFonts w:ascii="David" w:eastAsia="Calibri" w:hAnsi="David" w:cs="David"/>
          <w:sz w:val="24"/>
          <w:szCs w:val="24"/>
          <w:rtl/>
        </w:rPr>
        <w:t>מ.</w:t>
      </w:r>
      <w:r w:rsidRPr="00944FC1">
        <w:rPr>
          <w:rFonts w:ascii="David" w:eastAsia="Calibri" w:hAnsi="David" w:cs="David"/>
          <w:sz w:val="24"/>
          <w:szCs w:val="24"/>
          <w:rtl/>
        </w:rPr>
        <w:t xml:space="preserve"> מדוע לשיטתו לא נרשם הבניין על שמו. אלא שמדובר בהנחה לה משיב </w:t>
      </w:r>
      <w:r>
        <w:rPr>
          <w:rFonts w:ascii="David" w:eastAsia="Calibri" w:hAnsi="David" w:cs="David"/>
          <w:sz w:val="24"/>
          <w:szCs w:val="24"/>
          <w:rtl/>
        </w:rPr>
        <w:t>ח.</w:t>
      </w:r>
      <w:r w:rsidRPr="00944FC1">
        <w:rPr>
          <w:rFonts w:ascii="David" w:eastAsia="Calibri" w:hAnsi="David" w:cs="David"/>
          <w:sz w:val="24"/>
          <w:szCs w:val="24"/>
          <w:rtl/>
        </w:rPr>
        <w:t xml:space="preserve"> במילה – נכון - ואין לראות בכך הודאה מפורשת שזו הייתה הסכמת הצדדים. מעורבות </w:t>
      </w:r>
      <w:r>
        <w:rPr>
          <w:rFonts w:ascii="David" w:eastAsia="Calibri" w:hAnsi="David" w:cs="David"/>
          <w:sz w:val="24"/>
          <w:szCs w:val="24"/>
          <w:rtl/>
        </w:rPr>
        <w:t>מ.</w:t>
      </w:r>
      <w:r w:rsidRPr="00944FC1">
        <w:rPr>
          <w:rFonts w:ascii="David" w:eastAsia="Calibri" w:hAnsi="David" w:cs="David"/>
          <w:sz w:val="24"/>
          <w:szCs w:val="24"/>
          <w:rtl/>
        </w:rPr>
        <w:t xml:space="preserve"> בהליך הבניה בכך שבא בשבת להרטיב את המלט או בכך שניסה למנוע כניסת פולשים אין די בה כדי לקבוע ש</w:t>
      </w:r>
      <w:r>
        <w:rPr>
          <w:rFonts w:ascii="David" w:eastAsia="Calibri" w:hAnsi="David" w:cs="David"/>
          <w:sz w:val="24"/>
          <w:szCs w:val="24"/>
          <w:rtl/>
        </w:rPr>
        <w:t>ח.</w:t>
      </w:r>
      <w:r w:rsidRPr="00944FC1">
        <w:rPr>
          <w:rFonts w:ascii="David" w:eastAsia="Calibri" w:hAnsi="David" w:cs="David"/>
          <w:sz w:val="24"/>
          <w:szCs w:val="24"/>
          <w:rtl/>
        </w:rPr>
        <w:t xml:space="preserve"> הסכים להעביר לו 40% מ</w:t>
      </w:r>
      <w:r w:rsidRPr="00944FC1">
        <w:rPr>
          <w:rFonts w:ascii="David" w:eastAsia="Calibri" w:hAnsi="David" w:cs="David" w:hint="cs"/>
          <w:sz w:val="24"/>
          <w:szCs w:val="24"/>
          <w:rtl/>
        </w:rPr>
        <w:t xml:space="preserve">ן </w:t>
      </w:r>
      <w:r w:rsidRPr="00944FC1">
        <w:rPr>
          <w:rFonts w:ascii="David" w:eastAsia="Calibri" w:hAnsi="David" w:cs="David"/>
          <w:sz w:val="24"/>
          <w:szCs w:val="24"/>
          <w:rtl/>
        </w:rPr>
        <w:t xml:space="preserve">הזכויות במקרקעין.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זאת ועוד, בהצהרות ההון שנערכו על ידי </w:t>
      </w:r>
      <w:r>
        <w:rPr>
          <w:rFonts w:ascii="David" w:eastAsia="Calibri" w:hAnsi="David" w:cs="David"/>
          <w:sz w:val="24"/>
          <w:szCs w:val="24"/>
          <w:rtl/>
        </w:rPr>
        <w:t>ח.</w:t>
      </w:r>
      <w:r w:rsidRPr="00944FC1">
        <w:rPr>
          <w:rFonts w:ascii="David" w:eastAsia="Calibri" w:hAnsi="David" w:cs="David"/>
          <w:sz w:val="24"/>
          <w:szCs w:val="24"/>
          <w:rtl/>
        </w:rPr>
        <w:t xml:space="preserve"> מופיע הנכס כנכס נפרד. גם בהצהרות ההון של </w:t>
      </w:r>
      <w:r>
        <w:rPr>
          <w:rFonts w:ascii="David" w:eastAsia="Calibri" w:hAnsi="David" w:cs="David"/>
          <w:sz w:val="24"/>
          <w:szCs w:val="24"/>
          <w:rtl/>
        </w:rPr>
        <w:t>מ.</w:t>
      </w:r>
      <w:r w:rsidRPr="00944FC1">
        <w:rPr>
          <w:rFonts w:ascii="David" w:eastAsia="Calibri" w:hAnsi="David" w:cs="David"/>
          <w:sz w:val="24"/>
          <w:szCs w:val="24"/>
          <w:rtl/>
        </w:rPr>
        <w:t xml:space="preserve"> לא נרשם שיש לו זכויות בנכס זה, גם לא בהצהרה משנת 2008 המאוחרת לגירושין.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 כאמור, </w:t>
      </w:r>
      <w:r>
        <w:rPr>
          <w:rFonts w:ascii="David" w:eastAsia="Calibri" w:hAnsi="David" w:cs="David"/>
          <w:sz w:val="24"/>
          <w:szCs w:val="24"/>
          <w:rtl/>
        </w:rPr>
        <w:t>ח.</w:t>
      </w:r>
      <w:r w:rsidRPr="00944FC1">
        <w:rPr>
          <w:rFonts w:ascii="David" w:eastAsia="Calibri" w:hAnsi="David" w:cs="David"/>
          <w:sz w:val="24"/>
          <w:szCs w:val="24"/>
          <w:rtl/>
        </w:rPr>
        <w:t xml:space="preserve"> מאשר בשיחה ש</w:t>
      </w:r>
      <w:r>
        <w:rPr>
          <w:rFonts w:ascii="David" w:eastAsia="Calibri" w:hAnsi="David" w:cs="David"/>
          <w:sz w:val="24"/>
          <w:szCs w:val="24"/>
          <w:rtl/>
        </w:rPr>
        <w:t>מ.</w:t>
      </w:r>
      <w:r w:rsidRPr="00944FC1">
        <w:rPr>
          <w:rFonts w:ascii="David" w:eastAsia="Calibri" w:hAnsi="David" w:cs="David"/>
          <w:sz w:val="24"/>
          <w:szCs w:val="24"/>
          <w:rtl/>
        </w:rPr>
        <w:t xml:space="preserve"> השקיע כספים בבניית המבנה. גם אין זה מן הנמנע ש</w:t>
      </w:r>
      <w:r>
        <w:rPr>
          <w:rFonts w:ascii="David" w:eastAsia="Calibri" w:hAnsi="David" w:cs="David"/>
          <w:sz w:val="24"/>
          <w:szCs w:val="24"/>
          <w:rtl/>
        </w:rPr>
        <w:t>ח.</w:t>
      </w:r>
      <w:r w:rsidRPr="00944FC1">
        <w:rPr>
          <w:rFonts w:ascii="David" w:eastAsia="Calibri" w:hAnsi="David" w:cs="David"/>
          <w:sz w:val="24"/>
          <w:szCs w:val="24"/>
          <w:rtl/>
        </w:rPr>
        <w:t xml:space="preserve"> השתמש בחומרי בניה שנרכשו באמצעות העסק. איני מקבלת בעניין זה את טענת </w:t>
      </w:r>
      <w:r>
        <w:rPr>
          <w:rFonts w:ascii="David" w:eastAsia="Calibri" w:hAnsi="David" w:cs="David"/>
          <w:sz w:val="24"/>
          <w:szCs w:val="24"/>
          <w:rtl/>
        </w:rPr>
        <w:t>א.</w:t>
      </w:r>
      <w:r w:rsidRPr="00944FC1">
        <w:rPr>
          <w:rFonts w:ascii="David" w:eastAsia="Calibri" w:hAnsi="David" w:cs="David"/>
          <w:sz w:val="24"/>
          <w:szCs w:val="24"/>
          <w:rtl/>
        </w:rPr>
        <w:t xml:space="preserve"> שמדובר בהחזר חובות ל</w:t>
      </w:r>
      <w:r>
        <w:rPr>
          <w:rFonts w:ascii="David" w:eastAsia="Calibri" w:hAnsi="David" w:cs="David"/>
          <w:sz w:val="24"/>
          <w:szCs w:val="24"/>
          <w:rtl/>
        </w:rPr>
        <w:t>ח.</w:t>
      </w:r>
      <w:r w:rsidRPr="00944FC1">
        <w:rPr>
          <w:rFonts w:ascii="David" w:eastAsia="Calibri" w:hAnsi="David" w:cs="David"/>
          <w:sz w:val="24"/>
          <w:szCs w:val="24"/>
          <w:rtl/>
        </w:rPr>
        <w:t xml:space="preserve"> על רקע הליך הגירושין (סעיף 166 בסיכומיה), גרסה שלא נשמעה בשיחה המשפחתית. באשר להיקף ההשקעה- </w:t>
      </w:r>
      <w:r>
        <w:rPr>
          <w:rFonts w:ascii="David" w:eastAsia="Calibri" w:hAnsi="David" w:cs="David"/>
          <w:sz w:val="24"/>
          <w:szCs w:val="24"/>
          <w:rtl/>
        </w:rPr>
        <w:t>א.</w:t>
      </w:r>
      <w:r w:rsidRPr="00944FC1">
        <w:rPr>
          <w:rFonts w:ascii="David" w:eastAsia="Calibri" w:hAnsi="David" w:cs="David"/>
          <w:sz w:val="24"/>
          <w:szCs w:val="24"/>
          <w:rtl/>
        </w:rPr>
        <w:t xml:space="preserve"> טוענת שמדובר בסכום של כ-10,000 ₪ בלבד וזאת על בסיס האמור בהצהרת ההון של </w:t>
      </w:r>
      <w:r>
        <w:rPr>
          <w:rFonts w:ascii="David" w:eastAsia="Calibri" w:hAnsi="David" w:cs="David"/>
          <w:sz w:val="24"/>
          <w:szCs w:val="24"/>
          <w:rtl/>
        </w:rPr>
        <w:t>מ.</w:t>
      </w:r>
      <w:r w:rsidRPr="00944FC1">
        <w:rPr>
          <w:rFonts w:ascii="David" w:eastAsia="Calibri" w:hAnsi="David" w:cs="David"/>
          <w:sz w:val="24"/>
          <w:szCs w:val="24"/>
          <w:rtl/>
        </w:rPr>
        <w:t xml:space="preserve">. התובעים טוענים בסיכומים שהסכומים הנקובים בהצהרת ההון הם בערכי קרן ושסכום זה שווה כיום כ-141,000 ₪. על אף שהשתכנעתי כי </w:t>
      </w:r>
      <w:r>
        <w:rPr>
          <w:rFonts w:ascii="David" w:eastAsia="Calibri" w:hAnsi="David" w:cs="David"/>
          <w:sz w:val="24"/>
          <w:szCs w:val="24"/>
          <w:rtl/>
        </w:rPr>
        <w:t>מ.</w:t>
      </w:r>
      <w:r w:rsidRPr="00944FC1">
        <w:rPr>
          <w:rFonts w:ascii="David" w:eastAsia="Calibri" w:hAnsi="David" w:cs="David"/>
          <w:sz w:val="24"/>
          <w:szCs w:val="24"/>
          <w:rtl/>
        </w:rPr>
        <w:t xml:space="preserve"> השתתף במימון הבניה באמצעות הכספים הנ"ל, ובאמצעות מימון חומרי הבניין מתוך העסק המשותף, אין בכך לסייע לתובעים. אלו העמידו את מסד תביעתם על זכויות במקרקעין ולא על החזר השקעות. הסכמה להעברת 40% מהזכויות במקרקעין </w:t>
      </w:r>
      <w:r w:rsidRPr="00944FC1">
        <w:rPr>
          <w:rFonts w:ascii="David" w:eastAsia="Calibri" w:hAnsi="David" w:cs="David" w:hint="cs"/>
          <w:sz w:val="24"/>
          <w:szCs w:val="24"/>
          <w:rtl/>
        </w:rPr>
        <w:t>כנגד ההשקעות הנטענות</w:t>
      </w:r>
      <w:r w:rsidRPr="00944FC1">
        <w:rPr>
          <w:rFonts w:ascii="David" w:eastAsia="Calibri" w:hAnsi="David" w:cs="David"/>
          <w:sz w:val="24"/>
          <w:szCs w:val="24"/>
          <w:rtl/>
        </w:rPr>
        <w:t>–לא הוכחה.</w:t>
      </w:r>
    </w:p>
    <w:p w:rsidR="00944FC1" w:rsidRPr="00944FC1" w:rsidRDefault="00944FC1" w:rsidP="00944FC1">
      <w:pPr>
        <w:spacing w:after="0" w:line="360" w:lineRule="auto"/>
        <w:mirrorIndents/>
        <w:jc w:val="both"/>
        <w:rPr>
          <w:rFonts w:ascii="David" w:eastAsia="Calibri" w:hAnsi="David" w:cs="David"/>
          <w:sz w:val="24"/>
          <w:szCs w:val="24"/>
        </w:rPr>
      </w:pPr>
    </w:p>
    <w:p w:rsidR="00944FC1" w:rsidRPr="00944FC1" w:rsidRDefault="00944FC1" w:rsidP="00D630E5">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ל</w:t>
      </w:r>
      <w:r>
        <w:rPr>
          <w:rFonts w:ascii="David" w:eastAsia="Calibri" w:hAnsi="David" w:cs="David"/>
          <w:sz w:val="24"/>
          <w:szCs w:val="24"/>
          <w:rtl/>
        </w:rPr>
        <w:t>ח.</w:t>
      </w:r>
      <w:r w:rsidRPr="00944FC1">
        <w:rPr>
          <w:rFonts w:ascii="David" w:eastAsia="Calibri" w:hAnsi="David" w:cs="David"/>
          <w:sz w:val="24"/>
          <w:szCs w:val="24"/>
          <w:rtl/>
        </w:rPr>
        <w:t xml:space="preserve"> </w:t>
      </w:r>
      <w:r w:rsidRPr="00944FC1">
        <w:rPr>
          <w:rFonts w:ascii="David" w:eastAsia="Calibri" w:hAnsi="David" w:cs="David" w:hint="cs"/>
          <w:sz w:val="24"/>
          <w:szCs w:val="24"/>
          <w:rtl/>
        </w:rPr>
        <w:t xml:space="preserve">היו </w:t>
      </w:r>
      <w:r w:rsidRPr="00944FC1">
        <w:rPr>
          <w:rFonts w:ascii="David" w:eastAsia="Calibri" w:hAnsi="David" w:cs="David"/>
          <w:sz w:val="24"/>
          <w:szCs w:val="24"/>
          <w:rtl/>
        </w:rPr>
        <w:t>זכויות דיירות מוגנת ב</w:t>
      </w:r>
      <w:r w:rsidR="00D630E5">
        <w:rPr>
          <w:rFonts w:ascii="David" w:eastAsia="Calibri" w:hAnsi="David" w:cs="David" w:hint="cs"/>
          <w:sz w:val="24"/>
          <w:szCs w:val="24"/>
          <w:rtl/>
        </w:rPr>
        <w:t>נכס אחר ב</w:t>
      </w:r>
      <w:r w:rsidRPr="00944FC1">
        <w:rPr>
          <w:rFonts w:ascii="David" w:eastAsia="Calibri" w:hAnsi="David" w:cs="David"/>
          <w:sz w:val="24"/>
          <w:szCs w:val="24"/>
          <w:rtl/>
        </w:rPr>
        <w:t xml:space="preserve">רחוב העצמאות. בשיחה המשפחתית </w:t>
      </w:r>
      <w:r>
        <w:rPr>
          <w:rFonts w:ascii="David" w:eastAsia="Calibri" w:hAnsi="David" w:cs="David"/>
          <w:sz w:val="24"/>
          <w:szCs w:val="24"/>
          <w:rtl/>
        </w:rPr>
        <w:t>ח.</w:t>
      </w:r>
      <w:r w:rsidRPr="00944FC1">
        <w:rPr>
          <w:rFonts w:ascii="David" w:eastAsia="Calibri" w:hAnsi="David" w:cs="David"/>
          <w:sz w:val="24"/>
          <w:szCs w:val="24"/>
          <w:rtl/>
        </w:rPr>
        <w:t xml:space="preserve"> אמר </w:t>
      </w:r>
      <w:r w:rsidRPr="00944FC1">
        <w:rPr>
          <w:rFonts w:ascii="David" w:eastAsia="Calibri" w:hAnsi="David" w:cs="David" w:hint="cs"/>
          <w:sz w:val="24"/>
          <w:szCs w:val="24"/>
          <w:rtl/>
        </w:rPr>
        <w:t xml:space="preserve">כי </w:t>
      </w:r>
      <w:r w:rsidRPr="00944FC1">
        <w:rPr>
          <w:rFonts w:ascii="David" w:eastAsia="Calibri" w:hAnsi="David" w:cs="David"/>
          <w:sz w:val="24"/>
          <w:szCs w:val="24"/>
          <w:rtl/>
        </w:rPr>
        <w:t>ל</w:t>
      </w:r>
      <w:r>
        <w:rPr>
          <w:rFonts w:ascii="David" w:eastAsia="Calibri" w:hAnsi="David" w:cs="David"/>
          <w:sz w:val="24"/>
          <w:szCs w:val="24"/>
          <w:rtl/>
        </w:rPr>
        <w:t>מ.</w:t>
      </w:r>
      <w:r w:rsidRPr="00944FC1">
        <w:rPr>
          <w:rFonts w:ascii="David" w:eastAsia="Calibri" w:hAnsi="David" w:cs="David"/>
          <w:sz w:val="24"/>
          <w:szCs w:val="24"/>
          <w:rtl/>
        </w:rPr>
        <w:t xml:space="preserve"> 50% מהזכויות אך מיד לאחר מכן הבהיר כי הוא נותן את הזכויות ל</w:t>
      </w:r>
      <w:r>
        <w:rPr>
          <w:rFonts w:ascii="David" w:eastAsia="Calibri" w:hAnsi="David" w:cs="David"/>
          <w:sz w:val="24"/>
          <w:szCs w:val="24"/>
          <w:rtl/>
        </w:rPr>
        <w:t>מ.</w:t>
      </w:r>
      <w:r w:rsidRPr="00944FC1">
        <w:rPr>
          <w:rFonts w:ascii="David" w:eastAsia="Calibri" w:hAnsi="David" w:cs="David"/>
          <w:sz w:val="24"/>
          <w:szCs w:val="24"/>
          <w:rtl/>
        </w:rPr>
        <w:t xml:space="preserve"> במתנה (עמ' 181-177). התובעים טוענים שהעמדת הדברים כמתנה היא הקנטה גרידא, ושיש קשר בין שני הנכסים. על כן יש לגזור גזרה שווה וכמו שהזכויות בנכס שבדיירות מוגנת משותפות כך גם הזכויות בנכס בדרך העצמאות-משותפות. איני סבורה שניתן לקבוע על סמך תמליל השיחה כי מדובר בהקנטה גרידא. יתכן ו</w:t>
      </w:r>
      <w:r>
        <w:rPr>
          <w:rFonts w:ascii="David" w:eastAsia="Calibri" w:hAnsi="David" w:cs="David"/>
          <w:sz w:val="24"/>
          <w:szCs w:val="24"/>
          <w:rtl/>
        </w:rPr>
        <w:t>ח.</w:t>
      </w:r>
      <w:r w:rsidRPr="00944FC1">
        <w:rPr>
          <w:rFonts w:ascii="David" w:eastAsia="Calibri" w:hAnsi="David" w:cs="David"/>
          <w:sz w:val="24"/>
          <w:szCs w:val="24"/>
          <w:rtl/>
        </w:rPr>
        <w:t xml:space="preserve"> מדייק את דבריו ויתכן אחרת בכל מקרה אין די בתמליל כדי לקבל את מסקנת התובעים. יודגש, שעל אף האמור בתמליל, התובעים לא תבעו את מחצית הזכויות בדיירות המוגנת, שכן לשיטתם זכויותיהם בנכס זה פקעו. </w:t>
      </w:r>
    </w:p>
    <w:p w:rsidR="00944FC1" w:rsidRPr="00944FC1" w:rsidRDefault="00944FC1" w:rsidP="00944FC1">
      <w:pPr>
        <w:spacing w:after="0" w:line="360" w:lineRule="auto"/>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בסעיף 8 בסיכום הפגישה המשפחתית ניתנה זכות קדימה לרכישת חלקו של אחד השותפים. טענת התובעים היא שאין תוחלת לסעיף אלא אם מדובר בזכויות במקרקעין. אני דוחה טענה זו. אם היה הסיכום יוצא לפועל היו האחים שותפים במניות החברה ומכאן ההוראה שאם אחד מהם רוצה למכור את מניותיו עליו לתת לאחיו את זכות הקדימה לרכישתן. באשר להשתתפות בתשלומים השוטפים- הכנסות הבניין וההוצאות הכרוכות באחזקתו נוהלו באמצעות החברה, ואך טבעי הוא שאם </w:t>
      </w:r>
      <w:r>
        <w:rPr>
          <w:rFonts w:ascii="David" w:eastAsia="Calibri" w:hAnsi="David" w:cs="David"/>
          <w:sz w:val="24"/>
          <w:szCs w:val="24"/>
          <w:rtl/>
        </w:rPr>
        <w:t>מ.</w:t>
      </w:r>
      <w:r w:rsidRPr="00944FC1">
        <w:rPr>
          <w:rFonts w:ascii="David" w:eastAsia="Calibri" w:hAnsi="David" w:cs="David"/>
          <w:sz w:val="24"/>
          <w:szCs w:val="24"/>
          <w:rtl/>
        </w:rPr>
        <w:t xml:space="preserve"> מחזיק במניות החברה אזי עליו לשאת גם ב-40% מהוצאות הבניין.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טוענים כי </w:t>
      </w:r>
      <w:r>
        <w:rPr>
          <w:rFonts w:ascii="David" w:eastAsia="Calibri" w:hAnsi="David" w:cs="David"/>
          <w:sz w:val="24"/>
          <w:szCs w:val="24"/>
          <w:rtl/>
        </w:rPr>
        <w:t>א.</w:t>
      </w:r>
      <w:r w:rsidRPr="00944FC1">
        <w:rPr>
          <w:rFonts w:ascii="David" w:eastAsia="Calibri" w:hAnsi="David" w:cs="David"/>
          <w:sz w:val="24"/>
          <w:szCs w:val="24"/>
          <w:rtl/>
        </w:rPr>
        <w:t xml:space="preserve"> אישרה בעדותה שעוד לפני הפגישה המשפחתית דובר בין הצדדים על העברת אחוזים בנכס ל</w:t>
      </w:r>
      <w:r>
        <w:rPr>
          <w:rFonts w:ascii="David" w:eastAsia="Calibri" w:hAnsi="David" w:cs="David"/>
          <w:sz w:val="24"/>
          <w:szCs w:val="24"/>
          <w:rtl/>
        </w:rPr>
        <w:t>מ.</w:t>
      </w:r>
      <w:r w:rsidRPr="00944FC1">
        <w:rPr>
          <w:rFonts w:ascii="David" w:eastAsia="Calibri" w:hAnsi="David" w:cs="David"/>
          <w:sz w:val="24"/>
          <w:szCs w:val="24"/>
          <w:rtl/>
        </w:rPr>
        <w:t xml:space="preserve"> אך </w:t>
      </w:r>
      <w:r>
        <w:rPr>
          <w:rFonts w:ascii="David" w:eastAsia="Calibri" w:hAnsi="David" w:cs="David"/>
          <w:sz w:val="24"/>
          <w:szCs w:val="24"/>
          <w:rtl/>
        </w:rPr>
        <w:t>א.</w:t>
      </w:r>
      <w:r w:rsidRPr="00944FC1">
        <w:rPr>
          <w:rFonts w:ascii="David" w:eastAsia="Calibri" w:hAnsi="David" w:cs="David"/>
          <w:sz w:val="24"/>
          <w:szCs w:val="24"/>
          <w:rtl/>
        </w:rPr>
        <w:t xml:space="preserve"> הבהירה בעדותה שכוונתה היא לאחוזים במניות החברה ולא אישרה את טענת התובעים כמפורט לעיל.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לאור כל האמור</w:t>
      </w:r>
      <w:r w:rsidRPr="00944FC1">
        <w:rPr>
          <w:rFonts w:ascii="David" w:eastAsia="Calibri" w:hAnsi="David" w:cs="David" w:hint="cs"/>
          <w:sz w:val="24"/>
          <w:szCs w:val="24"/>
          <w:rtl/>
        </w:rPr>
        <w:t>,</w:t>
      </w:r>
      <w:r w:rsidRPr="00944FC1">
        <w:rPr>
          <w:rFonts w:ascii="David" w:eastAsia="Calibri" w:hAnsi="David" w:cs="David"/>
          <w:sz w:val="24"/>
          <w:szCs w:val="24"/>
          <w:rtl/>
        </w:rPr>
        <w:t xml:space="preserve"> התובעים לא הוכיחו טענתם שהיו ל</w:t>
      </w:r>
      <w:r>
        <w:rPr>
          <w:rFonts w:ascii="David" w:eastAsia="Calibri" w:hAnsi="David" w:cs="David"/>
          <w:sz w:val="24"/>
          <w:szCs w:val="24"/>
          <w:rtl/>
        </w:rPr>
        <w:t>מ.</w:t>
      </w:r>
      <w:r w:rsidRPr="00944FC1">
        <w:rPr>
          <w:rFonts w:ascii="David" w:eastAsia="Calibri" w:hAnsi="David" w:cs="David"/>
          <w:sz w:val="24"/>
          <w:szCs w:val="24"/>
          <w:rtl/>
        </w:rPr>
        <w:t xml:space="preserve"> זכויות בנכס בדרך העצמאות ומשכך לא ניתן לקבל את טענתם למעשה רמיה של </w:t>
      </w:r>
      <w:r>
        <w:rPr>
          <w:rFonts w:ascii="David" w:eastAsia="Calibri" w:hAnsi="David" w:cs="David"/>
          <w:sz w:val="24"/>
          <w:szCs w:val="24"/>
          <w:rtl/>
        </w:rPr>
        <w:t>מ.</w:t>
      </w:r>
      <w:r w:rsidRPr="00944FC1">
        <w:rPr>
          <w:rFonts w:ascii="David" w:eastAsia="Calibri" w:hAnsi="David" w:cs="David"/>
          <w:sz w:val="24"/>
          <w:szCs w:val="24"/>
          <w:rtl/>
        </w:rPr>
        <w:t xml:space="preserve"> ו</w:t>
      </w:r>
      <w:r>
        <w:rPr>
          <w:rFonts w:ascii="David" w:eastAsia="Calibri" w:hAnsi="David" w:cs="David"/>
          <w:sz w:val="24"/>
          <w:szCs w:val="24"/>
          <w:rtl/>
        </w:rPr>
        <w:t>ח.</w:t>
      </w:r>
      <w:r w:rsidRPr="00944FC1">
        <w:rPr>
          <w:rFonts w:ascii="David" w:eastAsia="Calibri" w:hAnsi="David" w:cs="David"/>
          <w:sz w:val="24"/>
          <w:szCs w:val="24"/>
          <w:rtl/>
        </w:rPr>
        <w:t xml:space="preserve"> כלפי בית המשפט. לפיכך, לא ניתן להתעלם מגרסתו של </w:t>
      </w:r>
      <w:r>
        <w:rPr>
          <w:rFonts w:ascii="David" w:eastAsia="Calibri" w:hAnsi="David" w:cs="David"/>
          <w:sz w:val="24"/>
          <w:szCs w:val="24"/>
          <w:rtl/>
        </w:rPr>
        <w:t>מ.</w:t>
      </w:r>
      <w:r w:rsidRPr="00944FC1">
        <w:rPr>
          <w:rFonts w:ascii="David" w:eastAsia="Calibri" w:hAnsi="David" w:cs="David"/>
          <w:sz w:val="24"/>
          <w:szCs w:val="24"/>
          <w:rtl/>
        </w:rPr>
        <w:t xml:space="preserve"> בכתב ההגנה בתביעה הרכושית. התוצאה היא שבענייננו, חל כלל ההשתק השיפוטי, והתובעים מושתקים מלטעון שהיו למנוח זכויות במקרקעין.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אפילו התנהגות התובעים אינה עולה כדי השתק שיפוטי - לא ניתן להתעלם מכך ש</w:t>
      </w:r>
      <w:r>
        <w:rPr>
          <w:rFonts w:ascii="David" w:eastAsia="Calibri" w:hAnsi="David" w:cs="David"/>
          <w:sz w:val="24"/>
          <w:szCs w:val="24"/>
          <w:rtl/>
        </w:rPr>
        <w:t>ח.</w:t>
      </w:r>
      <w:r w:rsidRPr="00944FC1">
        <w:rPr>
          <w:rFonts w:ascii="David" w:eastAsia="Calibri" w:hAnsi="David" w:cs="David"/>
          <w:sz w:val="24"/>
          <w:szCs w:val="24"/>
          <w:rtl/>
        </w:rPr>
        <w:t xml:space="preserve"> תמך את טענותיו בכתב ההגנה הנ"ל בתצהיר ושהוא לא חזר בו מגרסה זו באופן מפורש במהלך השנים שחלפו. יש לגרסתו זו משקל ראייתי נכבד גם אם כלל ההשתק השיפוטי לא היה חל. לא למותר לציין בעניין זה כי לאחר הגירושין </w:t>
      </w:r>
      <w:r>
        <w:rPr>
          <w:rFonts w:ascii="David" w:eastAsia="Calibri" w:hAnsi="David" w:cs="David"/>
          <w:sz w:val="24"/>
          <w:szCs w:val="24"/>
          <w:rtl/>
        </w:rPr>
        <w:t>מ.</w:t>
      </w:r>
      <w:r w:rsidRPr="00944FC1">
        <w:rPr>
          <w:rFonts w:ascii="David" w:eastAsia="Calibri" w:hAnsi="David" w:cs="David"/>
          <w:sz w:val="24"/>
          <w:szCs w:val="24"/>
          <w:rtl/>
        </w:rPr>
        <w:t xml:space="preserve"> לא מצא לנכון לתבוע זכויות  בנכס, גם לא אחרי אותה פגישה בשנת 2011. לכל אלו יש להוסיף את מסקנתי שהתובעים כלל לא הוכיחו את טענתם לקיומה של נאמנות בקשר לנכס זה. העולה מן המקובץ הוא שגם אלמלא ההשתק השיפוטי – התובעים לא הוכיחו את טענתם שהיו ל</w:t>
      </w:r>
      <w:r>
        <w:rPr>
          <w:rFonts w:ascii="David" w:eastAsia="Calibri" w:hAnsi="David" w:cs="David"/>
          <w:sz w:val="24"/>
          <w:szCs w:val="24"/>
          <w:rtl/>
        </w:rPr>
        <w:t>מ.</w:t>
      </w:r>
      <w:r w:rsidRPr="00944FC1">
        <w:rPr>
          <w:rFonts w:ascii="David" w:eastAsia="Calibri" w:hAnsi="David" w:cs="David"/>
          <w:sz w:val="24"/>
          <w:szCs w:val="24"/>
          <w:rtl/>
        </w:rPr>
        <w:t xml:space="preserve"> זכויות במקרקעין. </w:t>
      </w:r>
    </w:p>
    <w:p w:rsidR="00944FC1" w:rsidRPr="00944FC1" w:rsidRDefault="00944FC1" w:rsidP="00944FC1">
      <w:pPr>
        <w:spacing w:after="0" w:line="360" w:lineRule="auto"/>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טענתם האחרונה של התובעים היא שבפגישה המשפחתית </w:t>
      </w:r>
      <w:r>
        <w:rPr>
          <w:rFonts w:ascii="David" w:eastAsia="Calibri" w:hAnsi="David" w:cs="David"/>
          <w:sz w:val="24"/>
          <w:szCs w:val="24"/>
          <w:rtl/>
        </w:rPr>
        <w:t>ח.</w:t>
      </w:r>
      <w:r w:rsidRPr="00944FC1">
        <w:rPr>
          <w:rFonts w:ascii="David" w:eastAsia="Calibri" w:hAnsi="David" w:cs="David"/>
          <w:sz w:val="24"/>
          <w:szCs w:val="24"/>
          <w:rtl/>
        </w:rPr>
        <w:t xml:space="preserve"> נתן ל</w:t>
      </w:r>
      <w:r>
        <w:rPr>
          <w:rFonts w:ascii="David" w:eastAsia="Calibri" w:hAnsi="David" w:cs="David"/>
          <w:sz w:val="24"/>
          <w:szCs w:val="24"/>
          <w:rtl/>
        </w:rPr>
        <w:t>מ.</w:t>
      </w:r>
      <w:r w:rsidRPr="00944FC1">
        <w:rPr>
          <w:rFonts w:ascii="David" w:eastAsia="Calibri" w:hAnsi="David" w:cs="David"/>
          <w:sz w:val="24"/>
          <w:szCs w:val="24"/>
          <w:rtl/>
        </w:rPr>
        <w:t xml:space="preserve"> מתנה או שהוא התחייב לתת ל</w:t>
      </w:r>
      <w:r>
        <w:rPr>
          <w:rFonts w:ascii="David" w:eastAsia="Calibri" w:hAnsi="David" w:cs="David"/>
          <w:sz w:val="24"/>
          <w:szCs w:val="24"/>
          <w:rtl/>
        </w:rPr>
        <w:t>מ.</w:t>
      </w:r>
      <w:r w:rsidRPr="00944FC1">
        <w:rPr>
          <w:rFonts w:ascii="David" w:eastAsia="Calibri" w:hAnsi="David" w:cs="David"/>
          <w:sz w:val="24"/>
          <w:szCs w:val="24"/>
          <w:rtl/>
        </w:rPr>
        <w:t xml:space="preserve"> במתנה 40% מהזכויות בנכס. לשיטתם זוהי התוצאה המתחייבת של קבלת גרסתה של </w:t>
      </w:r>
      <w:r>
        <w:rPr>
          <w:rFonts w:ascii="David" w:eastAsia="Calibri" w:hAnsi="David" w:cs="David"/>
          <w:sz w:val="24"/>
          <w:szCs w:val="24"/>
          <w:rtl/>
        </w:rPr>
        <w:t>א.</w:t>
      </w:r>
      <w:r w:rsidRPr="00944FC1">
        <w:rPr>
          <w:rFonts w:ascii="David" w:eastAsia="Calibri" w:hAnsi="David" w:cs="David"/>
          <w:sz w:val="24"/>
          <w:szCs w:val="24"/>
          <w:rtl/>
        </w:rPr>
        <w:t xml:space="preserve"> בקשר לפגישה המשפחתית (בעוד שלשיטתם כאמור מדובר בנאמנות).  גם טענה זו יש לדחות. </w:t>
      </w:r>
      <w:r>
        <w:rPr>
          <w:rFonts w:ascii="David" w:eastAsia="Calibri" w:hAnsi="David" w:cs="David"/>
          <w:sz w:val="24"/>
          <w:szCs w:val="24"/>
          <w:rtl/>
        </w:rPr>
        <w:t>ח.</w:t>
      </w:r>
      <w:r w:rsidRPr="00944FC1">
        <w:rPr>
          <w:rFonts w:ascii="David" w:eastAsia="Calibri" w:hAnsi="David" w:cs="David"/>
          <w:sz w:val="24"/>
          <w:szCs w:val="24"/>
          <w:rtl/>
        </w:rPr>
        <w:t xml:space="preserve"> לא נתן במתנה לאלתר את הזכויות בנכס בדרך העצמאות ולא התחייב לעשות כן, אלא הוא הסכים להעביר 40% ממניות החברה, אך בכפוף לכך שיחתם הסכם בכתב. גם אין מקום לאכוף על </w:t>
      </w:r>
      <w:r>
        <w:rPr>
          <w:rFonts w:ascii="David" w:eastAsia="Calibri" w:hAnsi="David" w:cs="David"/>
          <w:sz w:val="24"/>
          <w:szCs w:val="24"/>
          <w:rtl/>
        </w:rPr>
        <w:t>א.</w:t>
      </w:r>
      <w:r w:rsidRPr="00944FC1">
        <w:rPr>
          <w:rFonts w:ascii="David" w:eastAsia="Calibri" w:hAnsi="David" w:cs="David"/>
          <w:sz w:val="24"/>
          <w:szCs w:val="24"/>
          <w:rtl/>
        </w:rPr>
        <w:t xml:space="preserve"> עסקת מתנה שהתובעים כלל לא טענו לה בכתב התביעה שהגישו. </w:t>
      </w:r>
    </w:p>
    <w:p w:rsidR="00944FC1" w:rsidRPr="00944FC1" w:rsidRDefault="00944FC1" w:rsidP="00944FC1">
      <w:pPr>
        <w:spacing w:after="0" w:line="360" w:lineRule="auto"/>
        <w:ind w:left="501"/>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לאור כל האמור, אני דוחה את טענת התובעים לזכויות בנכס בדרך העצמאות. </w:t>
      </w:r>
    </w:p>
    <w:p w:rsidR="00944FC1" w:rsidRPr="00944FC1" w:rsidRDefault="00944FC1" w:rsidP="00944FC1">
      <w:pPr>
        <w:spacing w:after="0" w:line="360" w:lineRule="auto"/>
        <w:ind w:left="360"/>
        <w:contextualSpacing/>
        <w:mirrorIndents/>
        <w:jc w:val="both"/>
        <w:rPr>
          <w:rFonts w:ascii="David" w:eastAsia="Calibri" w:hAnsi="David" w:cs="David"/>
          <w:sz w:val="24"/>
          <w:szCs w:val="24"/>
          <w:u w:val="single"/>
          <w:rtl/>
        </w:rPr>
      </w:pPr>
    </w:p>
    <w:p w:rsidR="00944FC1" w:rsidRPr="00944FC1" w:rsidRDefault="00944FC1" w:rsidP="00944FC1">
      <w:pPr>
        <w:spacing w:after="0" w:line="360" w:lineRule="auto"/>
        <w:ind w:left="-113" w:right="-113"/>
        <w:contextualSpacing/>
        <w:mirrorIndents/>
        <w:jc w:val="both"/>
        <w:rPr>
          <w:rFonts w:ascii="David" w:eastAsia="Calibri" w:hAnsi="David" w:cs="David"/>
          <w:b/>
          <w:bCs/>
          <w:sz w:val="24"/>
          <w:szCs w:val="24"/>
          <w:u w:val="single"/>
        </w:rPr>
      </w:pPr>
      <w:r w:rsidRPr="00944FC1">
        <w:rPr>
          <w:rFonts w:ascii="David" w:eastAsia="Calibri" w:hAnsi="David" w:cs="David"/>
          <w:b/>
          <w:bCs/>
          <w:sz w:val="24"/>
          <w:szCs w:val="24"/>
          <w:u w:val="single"/>
          <w:rtl/>
        </w:rPr>
        <w:lastRenderedPageBreak/>
        <w:t xml:space="preserve">החנות </w:t>
      </w:r>
    </w:p>
    <w:p w:rsidR="00944FC1" w:rsidRPr="00944FC1" w:rsidRDefault="00944FC1" w:rsidP="00402910">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הזכויות בחנות רשומות על שם </w:t>
      </w:r>
      <w:r>
        <w:rPr>
          <w:rFonts w:ascii="David" w:eastAsia="Calibri" w:hAnsi="David" w:cs="David"/>
          <w:sz w:val="24"/>
          <w:szCs w:val="24"/>
          <w:rtl/>
        </w:rPr>
        <w:t>ח.</w:t>
      </w:r>
      <w:r w:rsidRPr="00944FC1">
        <w:rPr>
          <w:rFonts w:ascii="David" w:eastAsia="Calibri" w:hAnsi="David" w:cs="David"/>
          <w:sz w:val="24"/>
          <w:szCs w:val="24"/>
          <w:rtl/>
        </w:rPr>
        <w:t xml:space="preserve">. החנות לא נזכרה בתביעה הרכושית שהגישה </w:t>
      </w:r>
      <w:r>
        <w:rPr>
          <w:rFonts w:ascii="David" w:eastAsia="Calibri" w:hAnsi="David" w:cs="David"/>
          <w:sz w:val="24"/>
          <w:szCs w:val="24"/>
          <w:rtl/>
        </w:rPr>
        <w:t>ע.</w:t>
      </w:r>
      <w:r w:rsidRPr="00944FC1">
        <w:rPr>
          <w:rFonts w:ascii="David" w:eastAsia="Calibri" w:hAnsi="David" w:cs="David"/>
          <w:sz w:val="24"/>
          <w:szCs w:val="24"/>
          <w:rtl/>
        </w:rPr>
        <w:t xml:space="preserve">. על פי עדותה, היא כלל לא ידעה על רכישת החנות שנרשמה במכוון על שם </w:t>
      </w:r>
      <w:r>
        <w:rPr>
          <w:rFonts w:ascii="David" w:eastAsia="Calibri" w:hAnsi="David" w:cs="David"/>
          <w:sz w:val="24"/>
          <w:szCs w:val="24"/>
          <w:rtl/>
        </w:rPr>
        <w:t>ח.</w:t>
      </w:r>
      <w:r w:rsidRPr="00944FC1">
        <w:rPr>
          <w:rFonts w:ascii="David" w:eastAsia="Calibri" w:hAnsi="David" w:cs="David"/>
          <w:sz w:val="24"/>
          <w:szCs w:val="24"/>
          <w:rtl/>
        </w:rPr>
        <w:t xml:space="preserve">. החנות מכונה בקרב בני המשפחה </w:t>
      </w:r>
      <w:r w:rsidRPr="00402910">
        <w:rPr>
          <w:rFonts w:ascii="David" w:eastAsia="Calibri" w:hAnsi="David" w:cs="David"/>
          <w:sz w:val="24"/>
          <w:szCs w:val="24"/>
          <w:rtl/>
        </w:rPr>
        <w:t>"צ",</w:t>
      </w:r>
      <w:r w:rsidRPr="00944FC1">
        <w:rPr>
          <w:rFonts w:ascii="David" w:eastAsia="Calibri" w:hAnsi="David" w:cs="David"/>
          <w:sz w:val="24"/>
          <w:szCs w:val="24"/>
          <w:rtl/>
        </w:rPr>
        <w:t xml:space="preserve"> ו</w:t>
      </w:r>
      <w:r>
        <w:rPr>
          <w:rFonts w:ascii="David" w:eastAsia="Calibri" w:hAnsi="David" w:cs="David"/>
          <w:sz w:val="24"/>
          <w:szCs w:val="24"/>
          <w:rtl/>
        </w:rPr>
        <w:t>מ.</w:t>
      </w:r>
      <w:r w:rsidRPr="00944FC1">
        <w:rPr>
          <w:rFonts w:ascii="David" w:eastAsia="Calibri" w:hAnsi="David" w:cs="David"/>
          <w:sz w:val="24"/>
          <w:szCs w:val="24"/>
          <w:rtl/>
        </w:rPr>
        <w:t xml:space="preserve"> מכנה אותה </w:t>
      </w:r>
      <w:r w:rsidRPr="00402910">
        <w:rPr>
          <w:rFonts w:ascii="David" w:eastAsia="Calibri" w:hAnsi="David" w:cs="David"/>
          <w:sz w:val="24"/>
          <w:szCs w:val="24"/>
          <w:rtl/>
        </w:rPr>
        <w:t>לעיתים "ס</w:t>
      </w:r>
      <w:r w:rsidR="00402910" w:rsidRPr="00402910">
        <w:rPr>
          <w:rFonts w:ascii="David" w:eastAsia="Calibri" w:hAnsi="David" w:cs="David" w:hint="cs"/>
          <w:sz w:val="24"/>
          <w:szCs w:val="24"/>
          <w:rtl/>
        </w:rPr>
        <w:t>'</w:t>
      </w:r>
      <w:r w:rsidRPr="00402910">
        <w:rPr>
          <w:rFonts w:ascii="David" w:eastAsia="Calibri" w:hAnsi="David" w:cs="David"/>
          <w:sz w:val="24"/>
          <w:szCs w:val="24"/>
          <w:rtl/>
        </w:rPr>
        <w:t>".</w:t>
      </w:r>
      <w:r w:rsidRPr="00944FC1">
        <w:rPr>
          <w:rFonts w:ascii="David" w:eastAsia="Calibri" w:hAnsi="David" w:cs="David"/>
          <w:sz w:val="24"/>
          <w:szCs w:val="24"/>
          <w:rtl/>
        </w:rPr>
        <w:t xml:space="preserve"> </w:t>
      </w:r>
    </w:p>
    <w:p w:rsidR="00944FC1" w:rsidRPr="00944FC1" w:rsidRDefault="00944FC1" w:rsidP="00944FC1">
      <w:pPr>
        <w:spacing w:after="0" w:line="360" w:lineRule="auto"/>
        <w:ind w:left="215"/>
        <w:contextualSpacing/>
        <w:mirrorIndents/>
        <w:jc w:val="both"/>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התובעים טוענים כי על אף הרישום, בפועל החנות הייתה שייכת לשני האחים במשותף, ולראיה לאורך השנים הם חלקו ביניהם את ההכנסות שהתקבלו ממנה.</w:t>
      </w:r>
      <w:r w:rsidRPr="00944FC1">
        <w:rPr>
          <w:rFonts w:ascii="David" w:eastAsia="Calibri" w:hAnsi="David" w:cs="David" w:hint="cs"/>
          <w:sz w:val="24"/>
          <w:szCs w:val="24"/>
          <w:rtl/>
        </w:rPr>
        <w:t xml:space="preserve"> </w:t>
      </w:r>
      <w:r w:rsidRPr="00944FC1">
        <w:rPr>
          <w:rFonts w:ascii="David" w:eastAsia="Calibri" w:hAnsi="David" w:cs="David"/>
          <w:sz w:val="24"/>
          <w:szCs w:val="24"/>
          <w:rtl/>
        </w:rPr>
        <w:t>התובעים מבססים את טענתם על אותם אדנים שפורטו ביחס לנכס בדרך העצמאות, ובכללם יחסי האמון המיוחדים בין האחים, ההסכמות בעל פה ביניהם, והנאמנות הנטענת. הם מוסיפים וטוענים כי ביחס לחנות התקיימה התנהלות כספית משותפת, אשר מעידה על הבעלות המשותפת בנכס</w:t>
      </w:r>
      <w:r w:rsidRPr="00944FC1">
        <w:rPr>
          <w:rFonts w:ascii="David" w:eastAsia="Calibri" w:hAnsi="David" w:cs="David" w:hint="cs"/>
          <w:sz w:val="24"/>
          <w:szCs w:val="24"/>
          <w:rtl/>
        </w:rPr>
        <w:t xml:space="preserve">.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לטענת התובעים, העובדה כי דמי השכירות מהחנות הופקדו לחשבון בנק משותף של האחים מהווה ראיה מכרעת לבעלות המשותפת בנכס. הם מדגישים כי ההחלטה להפקיד את דמי השכירות לחשבון המשותף לא הייתה מקרית, אלא נבעה מההבנה המשותפת של האחים כי החנות שייכת לשניהם.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בנוסף, התובעים טוענים כי לאורך השנים היו מעורבים שני האחים בקבלת החלטות הנוגעות לחנות, לרבות בחירת שוכרים, קביעת גובה דמי השכירות, וביצוע שיפוצים ותיקונים. לטענתם, גם בכך יש ללמד על בעלות משותפת בנכס.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גם בעניין זה, התובעים מפנים השיחות שהוקלטו בשנת 2011, במהלכן לטענתם הודה </w:t>
      </w:r>
      <w:r>
        <w:rPr>
          <w:rFonts w:ascii="David" w:eastAsia="Calibri" w:hAnsi="David" w:cs="David"/>
          <w:sz w:val="24"/>
          <w:szCs w:val="24"/>
          <w:rtl/>
        </w:rPr>
        <w:t>ח.</w:t>
      </w:r>
      <w:r w:rsidRPr="00944FC1">
        <w:rPr>
          <w:rFonts w:ascii="David" w:eastAsia="Calibri" w:hAnsi="David" w:cs="David"/>
          <w:sz w:val="24"/>
          <w:szCs w:val="24"/>
          <w:rtl/>
        </w:rPr>
        <w:t xml:space="preserve"> בזכויותיו של </w:t>
      </w:r>
      <w:r>
        <w:rPr>
          <w:rFonts w:ascii="David" w:eastAsia="Calibri" w:hAnsi="David" w:cs="David"/>
          <w:sz w:val="24"/>
          <w:szCs w:val="24"/>
          <w:rtl/>
        </w:rPr>
        <w:t>מ.</w:t>
      </w:r>
      <w:r w:rsidRPr="00944FC1">
        <w:rPr>
          <w:rFonts w:ascii="David" w:eastAsia="Calibri" w:hAnsi="David" w:cs="David"/>
          <w:sz w:val="24"/>
          <w:szCs w:val="24"/>
          <w:rtl/>
        </w:rPr>
        <w:t xml:space="preserve"> בחנות.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b/>
          <w:bCs/>
          <w:sz w:val="24"/>
          <w:szCs w:val="24"/>
          <w:u w:val="single"/>
        </w:rPr>
      </w:pPr>
      <w:r w:rsidRPr="00944FC1">
        <w:rPr>
          <w:rFonts w:ascii="David" w:eastAsia="Calibri" w:hAnsi="David" w:cs="David"/>
          <w:sz w:val="24"/>
          <w:szCs w:val="24"/>
          <w:rtl/>
        </w:rPr>
        <w:t xml:space="preserve"> </w:t>
      </w:r>
      <w:r w:rsidRPr="00944FC1">
        <w:rPr>
          <w:rFonts w:ascii="David" w:eastAsia="Calibri" w:hAnsi="David" w:cs="David" w:hint="cs"/>
          <w:sz w:val="24"/>
          <w:szCs w:val="24"/>
          <w:rtl/>
        </w:rPr>
        <w:t>אני דוחה את טענת התובעים מן</w:t>
      </w:r>
      <w:r w:rsidRPr="00944FC1">
        <w:rPr>
          <w:rFonts w:ascii="David" w:eastAsia="Calibri" w:hAnsi="David" w:cs="David"/>
          <w:sz w:val="24"/>
          <w:szCs w:val="24"/>
          <w:rtl/>
        </w:rPr>
        <w:t xml:space="preserve"> הנימוקים שיפורטו להלן. </w:t>
      </w:r>
    </w:p>
    <w:p w:rsidR="00944FC1" w:rsidRPr="00944FC1" w:rsidRDefault="00944FC1" w:rsidP="00944FC1">
      <w:pPr>
        <w:spacing w:after="0" w:line="360" w:lineRule="auto"/>
        <w:mirrorIndents/>
        <w:jc w:val="both"/>
        <w:rPr>
          <w:rFonts w:ascii="David" w:eastAsia="Calibri" w:hAnsi="David" w:cs="David"/>
          <w:b/>
          <w:bCs/>
          <w:sz w:val="24"/>
          <w:szCs w:val="24"/>
          <w:u w:val="single"/>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Pr>
          <w:rFonts w:ascii="David" w:eastAsia="Calibri" w:hAnsi="David" w:cs="David"/>
          <w:sz w:val="24"/>
          <w:szCs w:val="24"/>
          <w:rtl/>
        </w:rPr>
        <w:t>ח.</w:t>
      </w:r>
      <w:r w:rsidRPr="00944FC1">
        <w:rPr>
          <w:rFonts w:ascii="David" w:eastAsia="Calibri" w:hAnsi="David" w:cs="David"/>
          <w:sz w:val="24"/>
          <w:szCs w:val="24"/>
          <w:rtl/>
        </w:rPr>
        <w:t xml:space="preserve"> חתם על חוזה המכר לרכישת החנות. הוא מימן את רכישת החנות משיקים שלו (נספח 19 לתצהיר עדות ראשית של </w:t>
      </w:r>
      <w:r>
        <w:rPr>
          <w:rFonts w:ascii="David" w:eastAsia="Calibri" w:hAnsi="David" w:cs="David"/>
          <w:sz w:val="24"/>
          <w:szCs w:val="24"/>
          <w:rtl/>
        </w:rPr>
        <w:t>א.</w:t>
      </w:r>
      <w:r w:rsidRPr="00944FC1">
        <w:rPr>
          <w:rFonts w:ascii="David" w:eastAsia="Calibri" w:hAnsi="David" w:cs="David"/>
          <w:sz w:val="24"/>
          <w:szCs w:val="24"/>
          <w:rtl/>
        </w:rPr>
        <w:t xml:space="preserve">) מחשבון 20604/63 שהוא חשבון שלו. לאחר מכן נרשמו הזכויות על שמו. בשיחה המשפחתית </w:t>
      </w:r>
      <w:r>
        <w:rPr>
          <w:rFonts w:ascii="David" w:eastAsia="Calibri" w:hAnsi="David" w:cs="David"/>
          <w:sz w:val="24"/>
          <w:szCs w:val="24"/>
          <w:rtl/>
        </w:rPr>
        <w:t>מ.</w:t>
      </w:r>
      <w:r w:rsidRPr="00944FC1">
        <w:rPr>
          <w:rFonts w:ascii="David" w:eastAsia="Calibri" w:hAnsi="David" w:cs="David"/>
          <w:sz w:val="24"/>
          <w:szCs w:val="24"/>
          <w:rtl/>
        </w:rPr>
        <w:t xml:space="preserve"> מבהיר כי הוא התנגד לרכישת החנות (תמליל עמ' 318). התובעים לא הוכיחו ש</w:t>
      </w:r>
      <w:r>
        <w:rPr>
          <w:rFonts w:ascii="David" w:eastAsia="Calibri" w:hAnsi="David" w:cs="David"/>
          <w:sz w:val="24"/>
          <w:szCs w:val="24"/>
          <w:rtl/>
        </w:rPr>
        <w:t>מ.</w:t>
      </w:r>
      <w:r w:rsidRPr="00944FC1">
        <w:rPr>
          <w:rFonts w:ascii="David" w:eastAsia="Calibri" w:hAnsi="David" w:cs="David"/>
          <w:sz w:val="24"/>
          <w:szCs w:val="24"/>
          <w:rtl/>
        </w:rPr>
        <w:t xml:space="preserve"> מימן את רכישת החנות; בסיכומים הם טענו שהרכישה בוצעה מכספי "הקופה המשותפת", מאותו חשבון באמצעותו שולמו ל</w:t>
      </w:r>
      <w:r>
        <w:rPr>
          <w:rFonts w:ascii="David" w:eastAsia="Calibri" w:hAnsi="David" w:cs="David"/>
          <w:sz w:val="24"/>
          <w:szCs w:val="24"/>
          <w:rtl/>
        </w:rPr>
        <w:t>ע.</w:t>
      </w:r>
      <w:r w:rsidRPr="00944FC1">
        <w:rPr>
          <w:rFonts w:ascii="David" w:eastAsia="Calibri" w:hAnsi="David" w:cs="David"/>
          <w:sz w:val="24"/>
          <w:szCs w:val="24"/>
          <w:rtl/>
        </w:rPr>
        <w:t xml:space="preserve"> כספי הסדר הגירושין. אלא שאין די בכך שמאותו חשבון שולם החוב של </w:t>
      </w:r>
      <w:r>
        <w:rPr>
          <w:rFonts w:ascii="David" w:eastAsia="Calibri" w:hAnsi="David" w:cs="David"/>
          <w:sz w:val="24"/>
          <w:szCs w:val="24"/>
          <w:rtl/>
        </w:rPr>
        <w:t>מ.</w:t>
      </w:r>
      <w:r w:rsidRPr="00944FC1">
        <w:rPr>
          <w:rFonts w:ascii="David" w:eastAsia="Calibri" w:hAnsi="David" w:cs="David"/>
          <w:sz w:val="24"/>
          <w:szCs w:val="24"/>
          <w:rtl/>
        </w:rPr>
        <w:t xml:space="preserve"> ל</w:t>
      </w:r>
      <w:r>
        <w:rPr>
          <w:rFonts w:ascii="David" w:eastAsia="Calibri" w:hAnsi="David" w:cs="David"/>
          <w:sz w:val="24"/>
          <w:szCs w:val="24"/>
          <w:rtl/>
        </w:rPr>
        <w:t>ע.</w:t>
      </w:r>
      <w:r w:rsidRPr="00944FC1">
        <w:rPr>
          <w:rFonts w:ascii="David" w:eastAsia="Calibri" w:hAnsi="David" w:cs="David"/>
          <w:sz w:val="24"/>
          <w:szCs w:val="24"/>
          <w:rtl/>
        </w:rPr>
        <w:t xml:space="preserve"> כדי לגזור את המסקנה שהכספים בחשבון זה שייכים ל</w:t>
      </w:r>
      <w:r>
        <w:rPr>
          <w:rFonts w:ascii="David" w:eastAsia="Calibri" w:hAnsi="David" w:cs="David"/>
          <w:sz w:val="24"/>
          <w:szCs w:val="24"/>
          <w:rtl/>
        </w:rPr>
        <w:t>מ.</w:t>
      </w:r>
      <w:r w:rsidRPr="00944FC1">
        <w:rPr>
          <w:rFonts w:ascii="David" w:eastAsia="Calibri" w:hAnsi="David" w:cs="David"/>
          <w:sz w:val="24"/>
          <w:szCs w:val="24"/>
          <w:rtl/>
        </w:rPr>
        <w:t>. היה על התובעים להצביע על "נתיב הכסף" מ</w:t>
      </w:r>
      <w:r>
        <w:rPr>
          <w:rFonts w:ascii="David" w:eastAsia="Calibri" w:hAnsi="David" w:cs="David"/>
          <w:sz w:val="24"/>
          <w:szCs w:val="24"/>
          <w:rtl/>
        </w:rPr>
        <w:t>מ.</w:t>
      </w:r>
      <w:r w:rsidRPr="00944FC1">
        <w:rPr>
          <w:rFonts w:ascii="David" w:eastAsia="Calibri" w:hAnsi="David" w:cs="David"/>
          <w:sz w:val="24"/>
          <w:szCs w:val="24"/>
          <w:rtl/>
        </w:rPr>
        <w:t xml:space="preserve"> לחשבון זה וזאת לא עשו. הכספים שולמו </w:t>
      </w:r>
      <w:r w:rsidRPr="00944FC1">
        <w:rPr>
          <w:rFonts w:ascii="David" w:eastAsia="Calibri" w:hAnsi="David" w:cs="David"/>
          <w:sz w:val="24"/>
          <w:szCs w:val="24"/>
          <w:rtl/>
        </w:rPr>
        <w:lastRenderedPageBreak/>
        <w:t xml:space="preserve">מחשבונו של </w:t>
      </w:r>
      <w:r>
        <w:rPr>
          <w:rFonts w:ascii="David" w:eastAsia="Calibri" w:hAnsi="David" w:cs="David"/>
          <w:sz w:val="24"/>
          <w:szCs w:val="24"/>
          <w:rtl/>
        </w:rPr>
        <w:t>ח.</w:t>
      </w:r>
      <w:r w:rsidRPr="00944FC1">
        <w:rPr>
          <w:rFonts w:ascii="David" w:eastAsia="Calibri" w:hAnsi="David" w:cs="David"/>
          <w:sz w:val="24"/>
          <w:szCs w:val="24"/>
          <w:rtl/>
        </w:rPr>
        <w:t xml:space="preserve"> והזכויות בחנות נרשמו על שמו, מכאן קמה המסקנה ש</w:t>
      </w:r>
      <w:r>
        <w:rPr>
          <w:rFonts w:ascii="David" w:eastAsia="Calibri" w:hAnsi="David" w:cs="David"/>
          <w:sz w:val="24"/>
          <w:szCs w:val="24"/>
          <w:rtl/>
        </w:rPr>
        <w:t>ח.</w:t>
      </w:r>
      <w:r w:rsidRPr="00944FC1">
        <w:rPr>
          <w:rFonts w:ascii="David" w:eastAsia="Calibri" w:hAnsi="David" w:cs="David"/>
          <w:sz w:val="24"/>
          <w:szCs w:val="24"/>
          <w:rtl/>
        </w:rPr>
        <w:t xml:space="preserve"> רכש את החנות לעצמו ולא בעבור </w:t>
      </w:r>
      <w:r>
        <w:rPr>
          <w:rFonts w:ascii="David" w:eastAsia="Calibri" w:hAnsi="David" w:cs="David"/>
          <w:sz w:val="24"/>
          <w:szCs w:val="24"/>
          <w:rtl/>
        </w:rPr>
        <w:t>מ.</w:t>
      </w:r>
      <w:r w:rsidRPr="00944FC1">
        <w:rPr>
          <w:rFonts w:ascii="David" w:eastAsia="Calibri" w:hAnsi="David" w:cs="David"/>
          <w:sz w:val="24"/>
          <w:szCs w:val="24"/>
          <w:rtl/>
        </w:rPr>
        <w:t xml:space="preserve">.  </w:t>
      </w:r>
    </w:p>
    <w:p w:rsidR="00944FC1" w:rsidRPr="00944FC1" w:rsidRDefault="00944FC1" w:rsidP="00944FC1">
      <w:pPr>
        <w:spacing w:after="0" w:line="360" w:lineRule="auto"/>
        <w:ind w:left="501"/>
        <w:contextualSpacing/>
        <w:mirrorIndents/>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טוענים כי </w:t>
      </w:r>
      <w:r>
        <w:rPr>
          <w:rFonts w:ascii="David" w:eastAsia="Calibri" w:hAnsi="David" w:cs="David"/>
          <w:sz w:val="24"/>
          <w:szCs w:val="24"/>
          <w:rtl/>
        </w:rPr>
        <w:t>ח.</w:t>
      </w:r>
      <w:r w:rsidRPr="00944FC1">
        <w:rPr>
          <w:rFonts w:ascii="David" w:eastAsia="Calibri" w:hAnsi="David" w:cs="David"/>
          <w:sz w:val="24"/>
          <w:szCs w:val="24"/>
          <w:rtl/>
        </w:rPr>
        <w:t xml:space="preserve"> הפקיד בחשבון השותפות את דמי השכירות שהתקבלו מהחנות ובכך גילה דעתו שהחנות משותפת. </w:t>
      </w:r>
      <w:r>
        <w:rPr>
          <w:rFonts w:ascii="David" w:eastAsia="Calibri" w:hAnsi="David" w:cs="David"/>
          <w:sz w:val="24"/>
          <w:szCs w:val="24"/>
          <w:rtl/>
        </w:rPr>
        <w:t>א.</w:t>
      </w:r>
      <w:r w:rsidRPr="00944FC1">
        <w:rPr>
          <w:rFonts w:ascii="David" w:eastAsia="Calibri" w:hAnsi="David" w:cs="David"/>
          <w:sz w:val="24"/>
          <w:szCs w:val="24"/>
          <w:rtl/>
        </w:rPr>
        <w:t xml:space="preserve"> הציגה את הצהרות ההון של </w:t>
      </w:r>
      <w:r>
        <w:rPr>
          <w:rFonts w:ascii="David" w:eastAsia="Calibri" w:hAnsi="David" w:cs="David"/>
          <w:sz w:val="24"/>
          <w:szCs w:val="24"/>
          <w:rtl/>
        </w:rPr>
        <w:t>מ.</w:t>
      </w:r>
      <w:r w:rsidRPr="00944FC1">
        <w:rPr>
          <w:rFonts w:ascii="David" w:eastAsia="Calibri" w:hAnsi="David" w:cs="David"/>
          <w:sz w:val="24"/>
          <w:szCs w:val="24"/>
          <w:rtl/>
        </w:rPr>
        <w:t xml:space="preserve"> ואת מכתבו של רו"ח פרידר מיום 10.5.2001 מהן עולה כי בשנים 1999-1983 דמי השכירות (המכונים הכנסות ממבנה תעשייתי)  לא נותבו לחשבון השותפות. </w:t>
      </w:r>
      <w:r>
        <w:rPr>
          <w:rFonts w:ascii="David" w:eastAsia="Calibri" w:hAnsi="David" w:cs="David"/>
          <w:sz w:val="24"/>
          <w:szCs w:val="24"/>
          <w:rtl/>
        </w:rPr>
        <w:t>א.</w:t>
      </w:r>
      <w:r w:rsidRPr="00944FC1">
        <w:rPr>
          <w:rFonts w:ascii="David" w:eastAsia="Calibri" w:hAnsi="David" w:cs="David"/>
          <w:sz w:val="24"/>
          <w:szCs w:val="24"/>
          <w:rtl/>
        </w:rPr>
        <w:t xml:space="preserve"> מסבירה בעניין זה כי כאשר הכנסות העסק פחתו (ואין מחלוקת על כך) </w:t>
      </w:r>
      <w:r>
        <w:rPr>
          <w:rFonts w:ascii="David" w:eastAsia="Calibri" w:hAnsi="David" w:cs="David"/>
          <w:sz w:val="24"/>
          <w:szCs w:val="24"/>
          <w:rtl/>
        </w:rPr>
        <w:t>ח.</w:t>
      </w:r>
      <w:r w:rsidRPr="00944FC1">
        <w:rPr>
          <w:rFonts w:ascii="David" w:eastAsia="Calibri" w:hAnsi="David" w:cs="David"/>
          <w:sz w:val="24"/>
          <w:szCs w:val="24"/>
          <w:rtl/>
        </w:rPr>
        <w:t xml:space="preserve"> החליט לנתב את הכנסות החנות לחשבון השותפות וכך לסייע מעט לאחיו. </w:t>
      </w:r>
      <w:r>
        <w:rPr>
          <w:rFonts w:ascii="David" w:eastAsia="Calibri" w:hAnsi="David" w:cs="David"/>
          <w:sz w:val="24"/>
          <w:szCs w:val="24"/>
          <w:rtl/>
        </w:rPr>
        <w:t>ח.</w:t>
      </w:r>
      <w:r w:rsidRPr="00944FC1">
        <w:rPr>
          <w:rFonts w:ascii="David" w:eastAsia="Calibri" w:hAnsi="David" w:cs="David"/>
          <w:sz w:val="24"/>
          <w:szCs w:val="24"/>
          <w:rtl/>
        </w:rPr>
        <w:t xml:space="preserve"> נהג באופן זה עד סמוך לאחר פטירתו של </w:t>
      </w:r>
      <w:r>
        <w:rPr>
          <w:rFonts w:ascii="David" w:eastAsia="Calibri" w:hAnsi="David" w:cs="David"/>
          <w:sz w:val="24"/>
          <w:szCs w:val="24"/>
          <w:rtl/>
        </w:rPr>
        <w:t>מ.</w:t>
      </w:r>
      <w:r w:rsidRPr="00944FC1">
        <w:rPr>
          <w:rFonts w:ascii="David" w:eastAsia="Calibri" w:hAnsi="David" w:cs="David"/>
          <w:sz w:val="24"/>
          <w:szCs w:val="24"/>
          <w:rtl/>
        </w:rPr>
        <w:t xml:space="preserve"> ובחודש פברואר 2020 חדל מלעשות כן. הסבר זה מניח את הדעת. בעניין זה יודגש כי דמי השכירות נותבו לחשבון השותפות דווקא בסמוך להגשת התביעה הרכושית והדבר אינו מתיישב עם טענת התובעים שאי רישום חלקו של </w:t>
      </w:r>
      <w:r>
        <w:rPr>
          <w:rFonts w:ascii="David" w:eastAsia="Calibri" w:hAnsi="David" w:cs="David"/>
          <w:sz w:val="24"/>
          <w:szCs w:val="24"/>
          <w:rtl/>
        </w:rPr>
        <w:t>מ.</w:t>
      </w:r>
      <w:r w:rsidRPr="00944FC1">
        <w:rPr>
          <w:rFonts w:ascii="David" w:eastAsia="Calibri" w:hAnsi="David" w:cs="David"/>
          <w:sz w:val="24"/>
          <w:szCs w:val="24"/>
          <w:rtl/>
        </w:rPr>
        <w:t xml:space="preserve"> על שמו נובע מרצונו להסתיר מ</w:t>
      </w:r>
      <w:r>
        <w:rPr>
          <w:rFonts w:ascii="David" w:eastAsia="Calibri" w:hAnsi="David" w:cs="David"/>
          <w:sz w:val="24"/>
          <w:szCs w:val="24"/>
          <w:rtl/>
        </w:rPr>
        <w:t>ע.</w:t>
      </w:r>
      <w:r w:rsidRPr="00944FC1">
        <w:rPr>
          <w:rFonts w:ascii="David" w:eastAsia="Calibri" w:hAnsi="David" w:cs="David"/>
          <w:sz w:val="24"/>
          <w:szCs w:val="24"/>
          <w:rtl/>
        </w:rPr>
        <w:t xml:space="preserve"> נכס זה.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ניתוב דמי השכירות לחשבון השותפות לא הקים ל</w:t>
      </w:r>
      <w:r>
        <w:rPr>
          <w:rFonts w:ascii="David" w:eastAsia="Calibri" w:hAnsi="David" w:cs="David"/>
          <w:sz w:val="24"/>
          <w:szCs w:val="24"/>
          <w:rtl/>
        </w:rPr>
        <w:t>מ.</w:t>
      </w:r>
      <w:r w:rsidRPr="00944FC1">
        <w:rPr>
          <w:rFonts w:ascii="David" w:eastAsia="Calibri" w:hAnsi="David" w:cs="David"/>
          <w:sz w:val="24"/>
          <w:szCs w:val="24"/>
          <w:rtl/>
        </w:rPr>
        <w:t xml:space="preserve"> זכויות בנכס. סעיף 2 בפקודת השותפויות [נוסח חדש], תשל"ח-1975, קובע בעניין זה כי:</w:t>
      </w:r>
    </w:p>
    <w:p w:rsidR="00944FC1" w:rsidRPr="00944FC1" w:rsidRDefault="00944FC1" w:rsidP="00944FC1">
      <w:pPr>
        <w:spacing w:after="0" w:line="360" w:lineRule="auto"/>
        <w:ind w:left="215" w:right="-113"/>
        <w:rPr>
          <w:rFonts w:ascii="David" w:eastAsia="Calibri" w:hAnsi="David" w:cs="David"/>
          <w:b/>
          <w:bCs/>
          <w:sz w:val="24"/>
          <w:szCs w:val="24"/>
          <w:rtl/>
        </w:rPr>
      </w:pPr>
      <w:r w:rsidRPr="00944FC1">
        <w:rPr>
          <w:rFonts w:ascii="David" w:eastAsia="Calibri" w:hAnsi="David" w:cs="David" w:hint="cs"/>
          <w:b/>
          <w:bCs/>
          <w:sz w:val="24"/>
          <w:szCs w:val="24"/>
          <w:rtl/>
        </w:rPr>
        <w:t xml:space="preserve">" </w:t>
      </w:r>
      <w:r w:rsidRPr="00944FC1">
        <w:rPr>
          <w:rFonts w:ascii="David" w:eastAsia="Calibri" w:hAnsi="David" w:cs="David"/>
          <w:b/>
          <w:bCs/>
          <w:sz w:val="24"/>
          <w:szCs w:val="24"/>
          <w:rtl/>
        </w:rPr>
        <w:t>(1) שיתוף מכל צורה או הגדר בנכס או בכל זכות בו – אין בכך בלבד כדי ליצור קשרי שותפות בין בעלי הנכס או הזכות, ואפילו הם נוטלים חלק ברווחים המגיעים מן השימוש בהם;</w:t>
      </w:r>
    </w:p>
    <w:p w:rsidR="00944FC1" w:rsidRPr="00944FC1" w:rsidRDefault="00944FC1" w:rsidP="00944FC1">
      <w:pPr>
        <w:spacing w:after="0" w:line="360" w:lineRule="auto"/>
        <w:ind w:left="215" w:right="-113"/>
        <w:rPr>
          <w:rFonts w:ascii="David" w:eastAsia="Calibri" w:hAnsi="David" w:cs="David"/>
          <w:sz w:val="24"/>
          <w:szCs w:val="24"/>
        </w:rPr>
      </w:pPr>
      <w:r w:rsidRPr="00944FC1">
        <w:rPr>
          <w:rFonts w:ascii="David" w:eastAsia="Calibri" w:hAnsi="David" w:cs="David"/>
          <w:b/>
          <w:bCs/>
          <w:sz w:val="24"/>
          <w:szCs w:val="24"/>
          <w:rtl/>
        </w:rPr>
        <w:t>(2) נטילת חלק בהכנסה ברוטו מנכס, היא בלבד אינה יוצרת קשרי שותפות, בין שנוטלי החלק יש להם בנכס זכות או טובת הנאה משותפות ובין שאין להם</w:t>
      </w:r>
      <w:r w:rsidRPr="00944FC1">
        <w:rPr>
          <w:rFonts w:ascii="David" w:eastAsia="Calibri" w:hAnsi="David" w:cs="David"/>
          <w:sz w:val="24"/>
          <w:szCs w:val="24"/>
          <w:rtl/>
        </w:rPr>
        <w:t>"</w:t>
      </w:r>
    </w:p>
    <w:p w:rsidR="00944FC1" w:rsidRPr="00944FC1" w:rsidRDefault="00944FC1" w:rsidP="00944FC1">
      <w:pPr>
        <w:spacing w:after="0" w:line="360" w:lineRule="auto"/>
        <w:ind w:left="215" w:right="-113" w:firstLine="286"/>
        <w:contextualSpacing/>
        <w:mirrorIndents/>
        <w:rPr>
          <w:rFonts w:ascii="David" w:eastAsia="Calibri" w:hAnsi="David" w:cs="David"/>
          <w:sz w:val="24"/>
          <w:szCs w:val="24"/>
          <w:rtl/>
        </w:rPr>
      </w:pPr>
      <w:r w:rsidRPr="00944FC1">
        <w:rPr>
          <w:rFonts w:ascii="David" w:eastAsia="Calibri" w:hAnsi="David" w:cs="David"/>
          <w:sz w:val="24"/>
          <w:szCs w:val="24"/>
          <w:rtl/>
        </w:rPr>
        <w:t>לאור כל האמור, התובעים לא הוכיחו את טענתם של</w:t>
      </w:r>
      <w:r>
        <w:rPr>
          <w:rFonts w:ascii="David" w:eastAsia="Calibri" w:hAnsi="David" w:cs="David"/>
          <w:sz w:val="24"/>
          <w:szCs w:val="24"/>
          <w:rtl/>
        </w:rPr>
        <w:t>מ.</w:t>
      </w:r>
      <w:r w:rsidRPr="00944FC1">
        <w:rPr>
          <w:rFonts w:ascii="David" w:eastAsia="Calibri" w:hAnsi="David" w:cs="David"/>
          <w:sz w:val="24"/>
          <w:szCs w:val="24"/>
          <w:rtl/>
        </w:rPr>
        <w:t xml:space="preserve"> היו זכויות בחנות </w:t>
      </w:r>
      <w:r w:rsidRPr="00944FC1">
        <w:rPr>
          <w:rFonts w:ascii="David" w:eastAsia="Calibri" w:hAnsi="David" w:cs="David" w:hint="cs"/>
          <w:sz w:val="24"/>
          <w:szCs w:val="24"/>
          <w:rtl/>
        </w:rPr>
        <w:t>.</w:t>
      </w:r>
    </w:p>
    <w:p w:rsidR="00944FC1" w:rsidRPr="00944FC1" w:rsidRDefault="00944FC1" w:rsidP="00944FC1">
      <w:pPr>
        <w:spacing w:after="0" w:line="360" w:lineRule="auto"/>
        <w:ind w:left="501"/>
        <w:contextualSpacing/>
        <w:mirrorIndents/>
        <w:rPr>
          <w:rFonts w:ascii="David" w:eastAsia="Calibri" w:hAnsi="David" w:cs="David"/>
          <w:sz w:val="24"/>
          <w:szCs w:val="24"/>
          <w:rtl/>
        </w:rPr>
      </w:pPr>
      <w:r w:rsidRPr="00944FC1">
        <w:rPr>
          <w:rFonts w:ascii="David" w:eastAsia="Calibri" w:hAnsi="David" w:cs="David"/>
          <w:sz w:val="24"/>
          <w:szCs w:val="24"/>
          <w:rtl/>
        </w:rPr>
        <w:t xml:space="preserve">   </w:t>
      </w:r>
    </w:p>
    <w:p w:rsidR="00944FC1" w:rsidRPr="00944FC1" w:rsidRDefault="00944FC1" w:rsidP="00402910">
      <w:pPr>
        <w:numPr>
          <w:ilvl w:val="0"/>
          <w:numId w:val="1"/>
        </w:numPr>
        <w:spacing w:after="0" w:line="360" w:lineRule="auto"/>
        <w:ind w:left="215" w:hanging="215"/>
        <w:contextualSpacing/>
        <w:mirrorIndents/>
        <w:jc w:val="both"/>
        <w:rPr>
          <w:rFonts w:ascii="David" w:eastAsia="Calibri" w:hAnsi="David" w:cs="David"/>
          <w:b/>
          <w:bCs/>
          <w:sz w:val="24"/>
          <w:szCs w:val="24"/>
          <w:u w:val="single"/>
        </w:rPr>
      </w:pPr>
      <w:r w:rsidRPr="00944FC1">
        <w:rPr>
          <w:rFonts w:ascii="David" w:eastAsia="Calibri" w:hAnsi="David" w:cs="David"/>
          <w:sz w:val="24"/>
          <w:szCs w:val="24"/>
          <w:rtl/>
        </w:rPr>
        <w:t xml:space="preserve">איני מתעלמת מהאמור בשיחה המשפחתית שם סיפר </w:t>
      </w:r>
      <w:r>
        <w:rPr>
          <w:rFonts w:ascii="David" w:eastAsia="Calibri" w:hAnsi="David" w:cs="David"/>
          <w:sz w:val="24"/>
          <w:szCs w:val="24"/>
          <w:rtl/>
        </w:rPr>
        <w:t>ח.</w:t>
      </w:r>
      <w:r w:rsidRPr="00944FC1">
        <w:rPr>
          <w:rFonts w:ascii="David" w:eastAsia="Calibri" w:hAnsi="David" w:cs="David"/>
          <w:sz w:val="24"/>
          <w:szCs w:val="24"/>
          <w:rtl/>
        </w:rPr>
        <w:t xml:space="preserve"> כי </w:t>
      </w:r>
      <w:r>
        <w:rPr>
          <w:rFonts w:ascii="David" w:eastAsia="Calibri" w:hAnsi="David" w:cs="David"/>
          <w:sz w:val="24"/>
          <w:szCs w:val="24"/>
          <w:rtl/>
        </w:rPr>
        <w:t>מ.</w:t>
      </w:r>
      <w:r w:rsidRPr="00944FC1">
        <w:rPr>
          <w:rFonts w:ascii="David" w:eastAsia="Calibri" w:hAnsi="David" w:cs="David"/>
          <w:sz w:val="24"/>
          <w:szCs w:val="24"/>
          <w:rtl/>
        </w:rPr>
        <w:t xml:space="preserve"> הציע לו בעבר את החנות בתמורה לתשלום ששילם </w:t>
      </w:r>
      <w:r>
        <w:rPr>
          <w:rFonts w:ascii="David" w:eastAsia="Calibri" w:hAnsi="David" w:cs="David"/>
          <w:sz w:val="24"/>
          <w:szCs w:val="24"/>
          <w:rtl/>
        </w:rPr>
        <w:t>ח.</w:t>
      </w:r>
      <w:r w:rsidRPr="00944FC1">
        <w:rPr>
          <w:rFonts w:ascii="David" w:eastAsia="Calibri" w:hAnsi="David" w:cs="David"/>
          <w:sz w:val="24"/>
          <w:szCs w:val="24"/>
          <w:rtl/>
        </w:rPr>
        <w:t xml:space="preserve"> ל</w:t>
      </w:r>
      <w:r>
        <w:rPr>
          <w:rFonts w:ascii="David" w:eastAsia="Calibri" w:hAnsi="David" w:cs="David"/>
          <w:sz w:val="24"/>
          <w:szCs w:val="24"/>
          <w:rtl/>
        </w:rPr>
        <w:t>ע.</w:t>
      </w:r>
      <w:r w:rsidRPr="00944FC1">
        <w:rPr>
          <w:rFonts w:ascii="David" w:eastAsia="Calibri" w:hAnsi="David" w:cs="David"/>
          <w:sz w:val="24"/>
          <w:szCs w:val="24"/>
          <w:rtl/>
        </w:rPr>
        <w:t xml:space="preserve"> ובלשונו של </w:t>
      </w:r>
      <w:r>
        <w:rPr>
          <w:rFonts w:ascii="David" w:eastAsia="Calibri" w:hAnsi="David" w:cs="David"/>
          <w:sz w:val="24"/>
          <w:szCs w:val="24"/>
          <w:rtl/>
        </w:rPr>
        <w:t>ח.</w:t>
      </w:r>
      <w:r w:rsidRPr="00944FC1">
        <w:rPr>
          <w:rFonts w:ascii="David" w:eastAsia="Calibri" w:hAnsi="David" w:cs="David"/>
          <w:sz w:val="24"/>
          <w:szCs w:val="24"/>
          <w:rtl/>
        </w:rPr>
        <w:t xml:space="preserve"> – "הוא אמר לי אתה יודע מה, קח את צ'ופה, זה שווה 200 אלף דולר ואני לקחתי מהעסק נטו 200 אלף קח אתה 200 אלף שזה מכסה" (תמליל עמ' 107). </w:t>
      </w:r>
      <w:r>
        <w:rPr>
          <w:rFonts w:ascii="David" w:eastAsia="Calibri" w:hAnsi="David" w:cs="David"/>
          <w:sz w:val="24"/>
          <w:szCs w:val="24"/>
          <w:rtl/>
        </w:rPr>
        <w:t>ח.</w:t>
      </w:r>
      <w:r w:rsidRPr="00944FC1">
        <w:rPr>
          <w:rFonts w:ascii="David" w:eastAsia="Calibri" w:hAnsi="David" w:cs="David"/>
          <w:sz w:val="24"/>
          <w:szCs w:val="24"/>
          <w:rtl/>
        </w:rPr>
        <w:t xml:space="preserve"> הסביר כי סירב בשעתו להצעה בגלל שהיא אינה מכסה את החוב במלואו שכן המכירה חייבת במס. האחים המנוחים ניהלו מערכת עסקית ענפה ואין לדעת מה עמד בבסיס הצעה זו, יתכן והיא מלמדת על התחשבנות נוספת נסתרת מן העין, יתכן והיא תומכת בגרסת התובעים. כך או אחרת , </w:t>
      </w:r>
      <w:r>
        <w:rPr>
          <w:rFonts w:ascii="David" w:eastAsia="Calibri" w:hAnsi="David" w:cs="David"/>
          <w:sz w:val="24"/>
          <w:szCs w:val="24"/>
          <w:rtl/>
        </w:rPr>
        <w:t>מ.</w:t>
      </w:r>
      <w:r w:rsidRPr="00944FC1">
        <w:rPr>
          <w:rFonts w:ascii="David" w:eastAsia="Calibri" w:hAnsi="David" w:cs="David"/>
          <w:sz w:val="24"/>
          <w:szCs w:val="24"/>
          <w:rtl/>
        </w:rPr>
        <w:t xml:space="preserve"> חוזר על הצעתו זו במהלך הפגישה המשפחתית ומאשר שמבחינתו הזכויות הנטענות בחנות "מתקזזות" מול חובו ל</w:t>
      </w:r>
      <w:r>
        <w:rPr>
          <w:rFonts w:ascii="David" w:eastAsia="Calibri" w:hAnsi="David" w:cs="David"/>
          <w:sz w:val="24"/>
          <w:szCs w:val="24"/>
          <w:rtl/>
        </w:rPr>
        <w:t>ח.</w:t>
      </w:r>
      <w:r w:rsidRPr="00944FC1">
        <w:rPr>
          <w:rFonts w:ascii="David" w:eastAsia="Calibri" w:hAnsi="David" w:cs="David"/>
          <w:sz w:val="24"/>
          <w:szCs w:val="24"/>
          <w:rtl/>
        </w:rPr>
        <w:t>,</w:t>
      </w:r>
      <w:r w:rsidRPr="00944FC1">
        <w:rPr>
          <w:rFonts w:ascii="David" w:eastAsia="Calibri" w:hAnsi="David" w:cs="David" w:hint="cs"/>
          <w:sz w:val="24"/>
          <w:szCs w:val="24"/>
          <w:rtl/>
        </w:rPr>
        <w:t xml:space="preserve"> שהוא זה ש</w:t>
      </w:r>
      <w:r w:rsidRPr="00944FC1">
        <w:rPr>
          <w:rFonts w:ascii="David" w:eastAsia="Calibri" w:hAnsi="David" w:cs="David"/>
          <w:sz w:val="24"/>
          <w:szCs w:val="24"/>
          <w:rtl/>
        </w:rPr>
        <w:t>שילם ל</w:t>
      </w:r>
      <w:r>
        <w:rPr>
          <w:rFonts w:ascii="David" w:eastAsia="Calibri" w:hAnsi="David" w:cs="David"/>
          <w:sz w:val="24"/>
          <w:szCs w:val="24"/>
          <w:rtl/>
        </w:rPr>
        <w:t>ע.</w:t>
      </w:r>
      <w:r w:rsidRPr="00944FC1">
        <w:rPr>
          <w:rFonts w:ascii="David" w:eastAsia="Calibri" w:hAnsi="David" w:cs="David"/>
          <w:sz w:val="24"/>
          <w:szCs w:val="24"/>
          <w:rtl/>
        </w:rPr>
        <w:t xml:space="preserve"> את כספי הסדר הגירושין (עמ' 95-90). </w:t>
      </w:r>
      <w:r>
        <w:rPr>
          <w:rFonts w:ascii="David" w:eastAsia="Calibri" w:hAnsi="David" w:cs="David"/>
          <w:sz w:val="24"/>
          <w:szCs w:val="24"/>
          <w:rtl/>
        </w:rPr>
        <w:t>מ.</w:t>
      </w:r>
      <w:r w:rsidRPr="00944FC1">
        <w:rPr>
          <w:rFonts w:ascii="David" w:eastAsia="Calibri" w:hAnsi="David" w:cs="David"/>
          <w:sz w:val="24"/>
          <w:szCs w:val="24"/>
          <w:rtl/>
        </w:rPr>
        <w:t xml:space="preserve"> חוזר על הצעה זו פעם נוספת,  כאשר שבה ועולה בשיחה טענתו של  </w:t>
      </w:r>
      <w:r>
        <w:rPr>
          <w:rFonts w:ascii="David" w:eastAsia="Calibri" w:hAnsi="David" w:cs="David"/>
          <w:sz w:val="24"/>
          <w:szCs w:val="24"/>
          <w:rtl/>
        </w:rPr>
        <w:t>ח.</w:t>
      </w:r>
      <w:r w:rsidRPr="00944FC1">
        <w:rPr>
          <w:rFonts w:ascii="David" w:eastAsia="Calibri" w:hAnsi="David" w:cs="David"/>
          <w:sz w:val="24"/>
          <w:szCs w:val="24"/>
          <w:rtl/>
        </w:rPr>
        <w:t xml:space="preserve"> כי </w:t>
      </w:r>
      <w:r>
        <w:rPr>
          <w:rFonts w:ascii="David" w:eastAsia="Calibri" w:hAnsi="David" w:cs="David"/>
          <w:sz w:val="24"/>
          <w:szCs w:val="24"/>
          <w:rtl/>
        </w:rPr>
        <w:t>מ.</w:t>
      </w:r>
      <w:r w:rsidRPr="00944FC1">
        <w:rPr>
          <w:rFonts w:ascii="David" w:eastAsia="Calibri" w:hAnsi="David" w:cs="David"/>
          <w:sz w:val="24"/>
          <w:szCs w:val="24"/>
          <w:rtl/>
        </w:rPr>
        <w:t xml:space="preserve"> חייב לו 200,000 $ כתוצאה מהסדר הגירושין. </w:t>
      </w:r>
      <w:r>
        <w:rPr>
          <w:rFonts w:ascii="David" w:eastAsia="Calibri" w:hAnsi="David" w:cs="David"/>
          <w:sz w:val="24"/>
          <w:szCs w:val="24"/>
          <w:rtl/>
        </w:rPr>
        <w:t>מ.</w:t>
      </w:r>
      <w:r w:rsidRPr="00944FC1">
        <w:rPr>
          <w:rFonts w:ascii="David" w:eastAsia="Calibri" w:hAnsi="David" w:cs="David"/>
          <w:sz w:val="24"/>
          <w:szCs w:val="24"/>
          <w:rtl/>
        </w:rPr>
        <w:t xml:space="preserve"> אומר ל</w:t>
      </w:r>
      <w:r>
        <w:rPr>
          <w:rFonts w:ascii="David" w:eastAsia="Calibri" w:hAnsi="David" w:cs="David"/>
          <w:sz w:val="24"/>
          <w:szCs w:val="24"/>
          <w:rtl/>
        </w:rPr>
        <w:t>ח.</w:t>
      </w:r>
      <w:r w:rsidRPr="00944FC1">
        <w:rPr>
          <w:rFonts w:ascii="David" w:eastAsia="Calibri" w:hAnsi="David" w:cs="David"/>
          <w:sz w:val="24"/>
          <w:szCs w:val="24"/>
          <w:rtl/>
        </w:rPr>
        <w:t xml:space="preserve"> ול</w:t>
      </w:r>
      <w:r>
        <w:rPr>
          <w:rFonts w:ascii="David" w:eastAsia="Calibri" w:hAnsi="David" w:cs="David"/>
          <w:sz w:val="24"/>
          <w:szCs w:val="24"/>
          <w:rtl/>
        </w:rPr>
        <w:t>א.</w:t>
      </w:r>
      <w:r w:rsidRPr="00944FC1">
        <w:rPr>
          <w:rFonts w:ascii="David" w:eastAsia="Calibri" w:hAnsi="David" w:cs="David"/>
          <w:sz w:val="24"/>
          <w:szCs w:val="24"/>
          <w:rtl/>
        </w:rPr>
        <w:t xml:space="preserve"> "הנה לכם צ'ופה, אין אני לא חייב לכם כלום אתם לא חייבים לי כלום". בהתאמה לדברים אלו נכתב בסיכום הפגישה המשפחתית כי "החנות ברח' גירון </w:t>
      </w:r>
      <w:r w:rsidR="00402910">
        <w:rPr>
          <w:rFonts w:ascii="David" w:eastAsia="Calibri" w:hAnsi="David" w:cs="David" w:hint="cs"/>
          <w:sz w:val="24"/>
          <w:szCs w:val="24"/>
        </w:rPr>
        <w:t>XX</w:t>
      </w:r>
      <w:r w:rsidRPr="00944FC1">
        <w:rPr>
          <w:rFonts w:ascii="David" w:eastAsia="Calibri" w:hAnsi="David" w:cs="David"/>
          <w:sz w:val="24"/>
          <w:szCs w:val="24"/>
          <w:rtl/>
        </w:rPr>
        <w:t xml:space="preserve"> ביהוד הרשומה על שם </w:t>
      </w:r>
      <w:r>
        <w:rPr>
          <w:rFonts w:ascii="David" w:eastAsia="Calibri" w:hAnsi="David" w:cs="David"/>
          <w:sz w:val="24"/>
          <w:szCs w:val="24"/>
          <w:rtl/>
        </w:rPr>
        <w:t>ח.</w:t>
      </w:r>
      <w:r w:rsidRPr="00944FC1">
        <w:rPr>
          <w:rFonts w:ascii="David" w:eastAsia="Calibri" w:hAnsi="David" w:cs="David"/>
          <w:sz w:val="24"/>
          <w:szCs w:val="24"/>
          <w:rtl/>
        </w:rPr>
        <w:t xml:space="preserve"> מ</w:t>
      </w:r>
      <w:r w:rsidR="003463A9">
        <w:rPr>
          <w:rFonts w:ascii="David" w:eastAsia="Calibri" w:hAnsi="David" w:cs="David" w:hint="cs"/>
          <w:sz w:val="24"/>
          <w:szCs w:val="24"/>
          <w:rtl/>
        </w:rPr>
        <w:t>.</w:t>
      </w:r>
      <w:r w:rsidRPr="00944FC1">
        <w:rPr>
          <w:rFonts w:ascii="David" w:eastAsia="Calibri" w:hAnsi="David" w:cs="David"/>
          <w:sz w:val="24"/>
          <w:szCs w:val="24"/>
          <w:rtl/>
        </w:rPr>
        <w:t xml:space="preserve"> נשארת שייכת ל</w:t>
      </w:r>
      <w:r>
        <w:rPr>
          <w:rFonts w:ascii="David" w:eastAsia="Calibri" w:hAnsi="David" w:cs="David"/>
          <w:sz w:val="24"/>
          <w:szCs w:val="24"/>
          <w:rtl/>
        </w:rPr>
        <w:t>ח.</w:t>
      </w:r>
      <w:r w:rsidRPr="00944FC1">
        <w:rPr>
          <w:rFonts w:ascii="David" w:eastAsia="Calibri" w:hAnsi="David" w:cs="David"/>
          <w:sz w:val="24"/>
          <w:szCs w:val="24"/>
          <w:rtl/>
        </w:rPr>
        <w:t xml:space="preserve"> מ</w:t>
      </w:r>
      <w:r w:rsidR="003463A9">
        <w:rPr>
          <w:rFonts w:ascii="David" w:eastAsia="Calibri" w:hAnsi="David" w:cs="David" w:hint="cs"/>
          <w:sz w:val="24"/>
          <w:szCs w:val="24"/>
          <w:rtl/>
        </w:rPr>
        <w:t xml:space="preserve">. </w:t>
      </w:r>
      <w:r w:rsidRPr="00944FC1">
        <w:rPr>
          <w:rFonts w:ascii="David" w:eastAsia="Calibri" w:hAnsi="David" w:cs="David"/>
          <w:sz w:val="24"/>
          <w:szCs w:val="24"/>
          <w:rtl/>
        </w:rPr>
        <w:t xml:space="preserve">בלבד". לפיכך, </w:t>
      </w:r>
      <w:r w:rsidRPr="00944FC1">
        <w:rPr>
          <w:rFonts w:ascii="David" w:eastAsia="Calibri" w:hAnsi="David" w:cs="David"/>
          <w:sz w:val="24"/>
          <w:szCs w:val="24"/>
          <w:rtl/>
        </w:rPr>
        <w:lastRenderedPageBreak/>
        <w:t xml:space="preserve">מנקודת המבט של </w:t>
      </w:r>
      <w:r>
        <w:rPr>
          <w:rFonts w:ascii="David" w:eastAsia="Calibri" w:hAnsi="David" w:cs="David"/>
          <w:sz w:val="24"/>
          <w:szCs w:val="24"/>
          <w:rtl/>
        </w:rPr>
        <w:t>מ.</w:t>
      </w:r>
      <w:r w:rsidRPr="00944FC1">
        <w:rPr>
          <w:rFonts w:ascii="David" w:eastAsia="Calibri" w:hAnsi="David" w:cs="David"/>
          <w:sz w:val="24"/>
          <w:szCs w:val="24"/>
          <w:rtl/>
        </w:rPr>
        <w:t xml:space="preserve"> לא היו לו זכויות בחנות בשנת 2011, וגם לא היה לו חוב כספי ל</w:t>
      </w:r>
      <w:r>
        <w:rPr>
          <w:rFonts w:ascii="David" w:eastAsia="Calibri" w:hAnsi="David" w:cs="David"/>
          <w:sz w:val="24"/>
          <w:szCs w:val="24"/>
          <w:rtl/>
        </w:rPr>
        <w:t>ח.</w:t>
      </w:r>
      <w:r w:rsidRPr="00944FC1">
        <w:rPr>
          <w:rFonts w:ascii="David" w:eastAsia="Calibri" w:hAnsi="David" w:cs="David"/>
          <w:sz w:val="24"/>
          <w:szCs w:val="24"/>
          <w:rtl/>
        </w:rPr>
        <w:t xml:space="preserve"> כתוצאה מהסדר הגירושין. התובעים שנכנסו בנעליו אינם יכולים לטעון אחרת בשמו. </w:t>
      </w:r>
    </w:p>
    <w:p w:rsidR="00944FC1" w:rsidRPr="00944FC1" w:rsidRDefault="00944FC1" w:rsidP="00944FC1">
      <w:pPr>
        <w:spacing w:after="0" w:line="360" w:lineRule="auto"/>
        <w:ind w:left="215"/>
        <w:contextualSpacing/>
        <w:mirrorIndents/>
        <w:jc w:val="both"/>
        <w:rPr>
          <w:rFonts w:ascii="David" w:eastAsia="Calibri" w:hAnsi="David" w:cs="David"/>
          <w:b/>
          <w:bCs/>
          <w:sz w:val="24"/>
          <w:szCs w:val="24"/>
          <w:u w:val="single"/>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b/>
          <w:bCs/>
          <w:sz w:val="24"/>
          <w:szCs w:val="24"/>
          <w:u w:val="single"/>
        </w:rPr>
      </w:pPr>
      <w:r w:rsidRPr="00944FC1">
        <w:rPr>
          <w:rFonts w:ascii="David" w:eastAsia="Calibri" w:hAnsi="David" w:cs="David"/>
          <w:sz w:val="24"/>
          <w:szCs w:val="24"/>
          <w:rtl/>
        </w:rPr>
        <w:t xml:space="preserve">בדומה לנכס בדרך העצמאות, התובעים טוענים כי גרסת </w:t>
      </w:r>
      <w:r>
        <w:rPr>
          <w:rFonts w:ascii="David" w:eastAsia="Calibri" w:hAnsi="David" w:cs="David"/>
          <w:sz w:val="24"/>
          <w:szCs w:val="24"/>
          <w:rtl/>
        </w:rPr>
        <w:t>א.</w:t>
      </w:r>
      <w:r w:rsidRPr="00944FC1">
        <w:rPr>
          <w:rFonts w:ascii="David" w:eastAsia="Calibri" w:hAnsi="David" w:cs="David"/>
          <w:sz w:val="24"/>
          <w:szCs w:val="24"/>
          <w:rtl/>
        </w:rPr>
        <w:t xml:space="preserve"> שמחצית דמי השכירות של החנות הועברו באמצעות חשבון השותפות ל</w:t>
      </w:r>
      <w:r>
        <w:rPr>
          <w:rFonts w:ascii="David" w:eastAsia="Calibri" w:hAnsi="David" w:cs="David"/>
          <w:sz w:val="24"/>
          <w:szCs w:val="24"/>
          <w:rtl/>
        </w:rPr>
        <w:t>מ.</w:t>
      </w:r>
      <w:r w:rsidRPr="00944FC1">
        <w:rPr>
          <w:rFonts w:ascii="David" w:eastAsia="Calibri" w:hAnsi="David" w:cs="David"/>
          <w:sz w:val="24"/>
          <w:szCs w:val="24"/>
          <w:rtl/>
        </w:rPr>
        <w:t xml:space="preserve"> - תוצאתה עסקת מתנה, בין הצדדים או התחייבות לתת מתנה שאותן יש לאכוף במסגרת הליך זה. גם טענה זו יש לדחות , העברת דמי השכירות, שנועדה לסייע ל</w:t>
      </w:r>
      <w:r>
        <w:rPr>
          <w:rFonts w:ascii="David" w:eastAsia="Calibri" w:hAnsi="David" w:cs="David"/>
          <w:sz w:val="24"/>
          <w:szCs w:val="24"/>
          <w:rtl/>
        </w:rPr>
        <w:t>מ.</w:t>
      </w:r>
      <w:r w:rsidRPr="00944FC1">
        <w:rPr>
          <w:rFonts w:ascii="David" w:eastAsia="Calibri" w:hAnsi="David" w:cs="David"/>
          <w:sz w:val="24"/>
          <w:szCs w:val="24"/>
          <w:rtl/>
        </w:rPr>
        <w:t xml:space="preserve">  מבחינה כלכלית אינה מלמדת שהנכס גופו ניתן ל</w:t>
      </w:r>
      <w:r>
        <w:rPr>
          <w:rFonts w:ascii="David" w:eastAsia="Calibri" w:hAnsi="David" w:cs="David"/>
          <w:sz w:val="24"/>
          <w:szCs w:val="24"/>
          <w:rtl/>
        </w:rPr>
        <w:t>מ.</w:t>
      </w:r>
      <w:r w:rsidRPr="00944FC1">
        <w:rPr>
          <w:rFonts w:ascii="David" w:eastAsia="Calibri" w:hAnsi="David" w:cs="David"/>
          <w:sz w:val="24"/>
          <w:szCs w:val="24"/>
          <w:rtl/>
        </w:rPr>
        <w:t xml:space="preserve"> במתנה או ש</w:t>
      </w:r>
      <w:r>
        <w:rPr>
          <w:rFonts w:ascii="David" w:eastAsia="Calibri" w:hAnsi="David" w:cs="David"/>
          <w:sz w:val="24"/>
          <w:szCs w:val="24"/>
          <w:rtl/>
        </w:rPr>
        <w:t>ח.</w:t>
      </w:r>
      <w:r w:rsidRPr="00944FC1">
        <w:rPr>
          <w:rFonts w:ascii="David" w:eastAsia="Calibri" w:hAnsi="David" w:cs="David"/>
          <w:sz w:val="24"/>
          <w:szCs w:val="24"/>
          <w:rtl/>
        </w:rPr>
        <w:t xml:space="preserve"> התחייב לעשות כן. גם בעניין זה אין מקום לאכוף על </w:t>
      </w:r>
      <w:r>
        <w:rPr>
          <w:rFonts w:ascii="David" w:eastAsia="Calibri" w:hAnsi="David" w:cs="David"/>
          <w:sz w:val="24"/>
          <w:szCs w:val="24"/>
          <w:rtl/>
        </w:rPr>
        <w:t>א.</w:t>
      </w:r>
      <w:r w:rsidRPr="00944FC1">
        <w:rPr>
          <w:rFonts w:ascii="David" w:eastAsia="Calibri" w:hAnsi="David" w:cs="David"/>
          <w:sz w:val="24"/>
          <w:szCs w:val="24"/>
          <w:rtl/>
        </w:rPr>
        <w:t xml:space="preserve"> עסקת מתנה שהתובעים כלל לא טענו לה. </w:t>
      </w:r>
    </w:p>
    <w:p w:rsidR="00944FC1" w:rsidRPr="00944FC1" w:rsidRDefault="00944FC1" w:rsidP="00944FC1">
      <w:pPr>
        <w:spacing w:after="0" w:line="240" w:lineRule="auto"/>
        <w:ind w:left="720"/>
        <w:contextualSpacing/>
        <w:rPr>
          <w:rFonts w:ascii="David" w:eastAsia="Calibri" w:hAnsi="David" w:cs="David"/>
          <w:b/>
          <w:bCs/>
          <w:sz w:val="24"/>
          <w:szCs w:val="24"/>
          <w:u w:val="single"/>
          <w:rtl/>
        </w:rPr>
      </w:pPr>
    </w:p>
    <w:p w:rsidR="00944FC1" w:rsidRPr="00944FC1" w:rsidRDefault="00944FC1" w:rsidP="00402910">
      <w:pPr>
        <w:spacing w:after="0" w:line="360" w:lineRule="auto"/>
        <w:ind w:left="-113" w:right="-113"/>
        <w:mirrorIndents/>
        <w:jc w:val="both"/>
        <w:rPr>
          <w:rFonts w:ascii="David" w:eastAsia="Calibri" w:hAnsi="David" w:cs="David"/>
          <w:b/>
          <w:bCs/>
          <w:sz w:val="24"/>
          <w:szCs w:val="24"/>
          <w:u w:val="single"/>
          <w:rtl/>
        </w:rPr>
      </w:pPr>
      <w:r w:rsidRPr="00944FC1">
        <w:rPr>
          <w:rFonts w:ascii="David" w:eastAsia="Calibri" w:hAnsi="David" w:cs="David"/>
          <w:b/>
          <w:bCs/>
          <w:sz w:val="24"/>
          <w:szCs w:val="24"/>
          <w:u w:val="single"/>
          <w:rtl/>
        </w:rPr>
        <w:t xml:space="preserve">תחנת הדלק </w:t>
      </w:r>
    </w:p>
    <w:p w:rsidR="00944FC1" w:rsidRPr="00944FC1" w:rsidRDefault="00944FC1" w:rsidP="00944FC1">
      <w:pPr>
        <w:spacing w:after="0" w:line="360" w:lineRule="auto"/>
        <w:ind w:left="-113" w:right="-113"/>
        <w:mirrorIndents/>
        <w:jc w:val="both"/>
        <w:rPr>
          <w:rFonts w:ascii="David" w:eastAsia="Calibri" w:hAnsi="David" w:cs="David"/>
          <w:b/>
          <w:bCs/>
          <w:sz w:val="24"/>
          <w:szCs w:val="24"/>
          <w:u w:val="single"/>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b/>
          <w:bCs/>
          <w:sz w:val="24"/>
          <w:szCs w:val="24"/>
          <w:u w:val="single"/>
          <w:rtl/>
        </w:rPr>
      </w:pPr>
      <w:r w:rsidRPr="00944FC1">
        <w:rPr>
          <w:rFonts w:ascii="David" w:eastAsia="Calibri" w:hAnsi="David" w:cs="David"/>
          <w:sz w:val="24"/>
          <w:szCs w:val="24"/>
          <w:rtl/>
        </w:rPr>
        <w:t xml:space="preserve">תחנת הדלק רשומה על שם האחים המנוחים ברמ"י. התחנה מושכרת וכל צד מקבל את חלקו בהסכם השכירות. בהעדר מחלוקת אין צורך במתן הוראות נוספות בקשר לנכס זה. </w:t>
      </w:r>
    </w:p>
    <w:p w:rsidR="00944FC1" w:rsidRPr="00944FC1" w:rsidRDefault="00944FC1" w:rsidP="00944FC1">
      <w:pPr>
        <w:spacing w:after="0" w:line="360" w:lineRule="auto"/>
        <w:ind w:left="501"/>
        <w:contextualSpacing/>
        <w:mirrorIndents/>
        <w:jc w:val="both"/>
        <w:rPr>
          <w:rFonts w:ascii="David" w:eastAsia="Calibri" w:hAnsi="David" w:cs="David"/>
          <w:sz w:val="24"/>
          <w:szCs w:val="24"/>
          <w:u w:val="single"/>
          <w:rtl/>
        </w:rPr>
      </w:pPr>
    </w:p>
    <w:p w:rsidR="00944FC1" w:rsidRPr="00944FC1" w:rsidRDefault="00944FC1" w:rsidP="00944FC1">
      <w:pPr>
        <w:spacing w:after="0" w:line="360" w:lineRule="auto"/>
        <w:ind w:left="-113" w:right="-113"/>
        <w:mirrorIndents/>
        <w:jc w:val="both"/>
        <w:rPr>
          <w:rFonts w:ascii="David" w:eastAsia="Calibri" w:hAnsi="David" w:cs="David"/>
          <w:b/>
          <w:bCs/>
          <w:sz w:val="24"/>
          <w:szCs w:val="24"/>
          <w:u w:val="single"/>
          <w:rtl/>
        </w:rPr>
      </w:pPr>
      <w:r w:rsidRPr="00944FC1">
        <w:rPr>
          <w:rFonts w:ascii="David" w:eastAsia="Calibri" w:hAnsi="David" w:cs="David"/>
          <w:b/>
          <w:bCs/>
          <w:sz w:val="24"/>
          <w:szCs w:val="24"/>
          <w:u w:val="single"/>
          <w:rtl/>
        </w:rPr>
        <w:t>החברה</w:t>
      </w:r>
    </w:p>
    <w:p w:rsidR="00944FC1" w:rsidRPr="00944FC1" w:rsidRDefault="00944FC1" w:rsidP="00944FC1">
      <w:pPr>
        <w:spacing w:after="0" w:line="360" w:lineRule="auto"/>
        <w:ind w:left="-113" w:right="-113"/>
        <w:mirrorIndents/>
        <w:jc w:val="both"/>
        <w:rPr>
          <w:rFonts w:ascii="David" w:eastAsia="Calibri" w:hAnsi="David" w:cs="David"/>
          <w:b/>
          <w:bCs/>
          <w:sz w:val="24"/>
          <w:szCs w:val="24"/>
          <w:u w:val="single"/>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א.</w:t>
      </w:r>
      <w:r w:rsidRPr="00944FC1">
        <w:rPr>
          <w:rFonts w:ascii="David" w:eastAsia="Calibri" w:hAnsi="David" w:cs="David"/>
          <w:sz w:val="24"/>
          <w:szCs w:val="24"/>
          <w:rtl/>
        </w:rPr>
        <w:t xml:space="preserve"> הקימו את החברה לצורך הקמת מבנה המשרדים וניהולו. </w:t>
      </w:r>
      <w:r>
        <w:rPr>
          <w:rFonts w:ascii="David" w:eastAsia="Calibri" w:hAnsi="David" w:cs="David"/>
          <w:sz w:val="24"/>
          <w:szCs w:val="24"/>
          <w:rtl/>
        </w:rPr>
        <w:t>ח.</w:t>
      </w:r>
      <w:r w:rsidRPr="00944FC1">
        <w:rPr>
          <w:rFonts w:ascii="David" w:eastAsia="Calibri" w:hAnsi="David" w:cs="David"/>
          <w:sz w:val="24"/>
          <w:szCs w:val="24"/>
          <w:rtl/>
        </w:rPr>
        <w:t xml:space="preserve"> החזיק ב-99 מניות ו</w:t>
      </w:r>
      <w:r>
        <w:rPr>
          <w:rFonts w:ascii="David" w:eastAsia="Calibri" w:hAnsi="David" w:cs="David"/>
          <w:sz w:val="24"/>
          <w:szCs w:val="24"/>
          <w:rtl/>
        </w:rPr>
        <w:t>א.</w:t>
      </w:r>
      <w:r w:rsidRPr="00944FC1">
        <w:rPr>
          <w:rFonts w:ascii="David" w:eastAsia="Calibri" w:hAnsi="David" w:cs="David"/>
          <w:sz w:val="24"/>
          <w:szCs w:val="24"/>
          <w:rtl/>
        </w:rPr>
        <w:t xml:space="preserve"> במניה אחת. כיום </w:t>
      </w:r>
      <w:r>
        <w:rPr>
          <w:rFonts w:ascii="David" w:eastAsia="Calibri" w:hAnsi="David" w:cs="David"/>
          <w:sz w:val="24"/>
          <w:szCs w:val="24"/>
          <w:rtl/>
        </w:rPr>
        <w:t>א.</w:t>
      </w:r>
      <w:r w:rsidRPr="00944FC1">
        <w:rPr>
          <w:rFonts w:ascii="David" w:eastAsia="Calibri" w:hAnsi="David" w:cs="David"/>
          <w:sz w:val="24"/>
          <w:szCs w:val="24"/>
          <w:rtl/>
        </w:rPr>
        <w:t xml:space="preserve"> מחזיקה בכל המניות. </w:t>
      </w:r>
    </w:p>
    <w:p w:rsidR="00944FC1" w:rsidRPr="00944FC1" w:rsidRDefault="00944FC1" w:rsidP="00944FC1">
      <w:pPr>
        <w:spacing w:after="0" w:line="360" w:lineRule="auto"/>
        <w:ind w:left="501"/>
        <w:contextualSpacing/>
        <w:mirrorIndents/>
        <w:jc w:val="both"/>
        <w:rPr>
          <w:rFonts w:ascii="David" w:eastAsia="Calibri" w:hAnsi="David" w:cs="David"/>
          <w:sz w:val="24"/>
          <w:szCs w:val="24"/>
        </w:rPr>
      </w:pPr>
    </w:p>
    <w:p w:rsidR="00944FC1" w:rsidRPr="00944FC1" w:rsidRDefault="00944FC1" w:rsidP="003463A9">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טוענים שמניות החברה נרשמו ע"ש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א.</w:t>
      </w:r>
      <w:r w:rsidRPr="00944FC1">
        <w:rPr>
          <w:rFonts w:ascii="David" w:eastAsia="Calibri" w:hAnsi="David" w:cs="David"/>
          <w:sz w:val="24"/>
          <w:szCs w:val="24"/>
          <w:rtl/>
        </w:rPr>
        <w:t xml:space="preserve"> במסגרת ההסדר המשפחתי ו/או בנאמנות ואו/בשמירה. </w:t>
      </w:r>
      <w:r w:rsidRPr="00944FC1">
        <w:rPr>
          <w:rFonts w:ascii="David" w:eastAsia="Calibri" w:hAnsi="David" w:cs="David" w:hint="cs"/>
          <w:sz w:val="24"/>
          <w:szCs w:val="24"/>
          <w:rtl/>
        </w:rPr>
        <w:t xml:space="preserve">לטענתם, </w:t>
      </w:r>
      <w:r w:rsidRPr="00944FC1">
        <w:rPr>
          <w:rFonts w:ascii="David" w:eastAsia="Calibri" w:hAnsi="David" w:cs="David"/>
          <w:sz w:val="24"/>
          <w:szCs w:val="24"/>
          <w:rtl/>
        </w:rPr>
        <w:t>שמה של החברה - "</w:t>
      </w:r>
      <w:r w:rsidR="003463A9">
        <w:rPr>
          <w:rFonts w:ascii="David" w:eastAsia="Calibri" w:hAnsi="David" w:cs="David" w:hint="cs"/>
          <w:sz w:val="24"/>
          <w:szCs w:val="24"/>
          <w:rtl/>
        </w:rPr>
        <w:t>ד.ש.</w:t>
      </w:r>
      <w:r w:rsidRPr="00944FC1">
        <w:rPr>
          <w:rFonts w:ascii="David" w:eastAsia="Calibri" w:hAnsi="David" w:cs="David"/>
          <w:sz w:val="24"/>
          <w:szCs w:val="24"/>
          <w:rtl/>
        </w:rPr>
        <w:t>" - מרמז על היותה שייכת לשני האחים, כאשר המילה ד</w:t>
      </w:r>
      <w:r w:rsidR="003463A9">
        <w:rPr>
          <w:rFonts w:ascii="David" w:eastAsia="Calibri" w:hAnsi="David" w:cs="David" w:hint="cs"/>
          <w:sz w:val="24"/>
          <w:szCs w:val="24"/>
          <w:rtl/>
        </w:rPr>
        <w:t>'</w:t>
      </w:r>
      <w:r w:rsidRPr="00944FC1">
        <w:rPr>
          <w:rFonts w:ascii="David" w:eastAsia="Calibri" w:hAnsi="David" w:cs="David"/>
          <w:sz w:val="24"/>
          <w:szCs w:val="24"/>
          <w:rtl/>
        </w:rPr>
        <w:t xml:space="preserve"> מציינת את שם המשפחה ואת האות הראשונה בשמות בנותיו של </w:t>
      </w:r>
      <w:r>
        <w:rPr>
          <w:rFonts w:ascii="David" w:eastAsia="Calibri" w:hAnsi="David" w:cs="David"/>
          <w:sz w:val="24"/>
          <w:szCs w:val="24"/>
          <w:rtl/>
        </w:rPr>
        <w:t>ח.</w:t>
      </w:r>
      <w:r w:rsidRPr="00944FC1">
        <w:rPr>
          <w:rFonts w:ascii="David" w:eastAsia="Calibri" w:hAnsi="David" w:cs="David"/>
          <w:sz w:val="24"/>
          <w:szCs w:val="24"/>
          <w:rtl/>
        </w:rPr>
        <w:t xml:space="preserve"> ואלו המילה  "ש</w:t>
      </w:r>
      <w:r w:rsidR="003463A9">
        <w:rPr>
          <w:rFonts w:ascii="David" w:eastAsia="Calibri" w:hAnsi="David" w:cs="David" w:hint="cs"/>
          <w:sz w:val="24"/>
          <w:szCs w:val="24"/>
          <w:rtl/>
        </w:rPr>
        <w:t>'</w:t>
      </w:r>
      <w:r w:rsidRPr="00944FC1">
        <w:rPr>
          <w:rFonts w:ascii="David" w:eastAsia="Calibri" w:hAnsi="David" w:cs="David"/>
          <w:sz w:val="24"/>
          <w:szCs w:val="24"/>
          <w:rtl/>
        </w:rPr>
        <w:t>" מורכבת מראשי התיבות של שמות התובעים - ש' -</w:t>
      </w:r>
      <w:r>
        <w:rPr>
          <w:rFonts w:ascii="David" w:eastAsia="Calibri" w:hAnsi="David" w:cs="David"/>
          <w:sz w:val="24"/>
          <w:szCs w:val="24"/>
          <w:rtl/>
        </w:rPr>
        <w:t>ש.</w:t>
      </w:r>
      <w:r w:rsidRPr="00944FC1">
        <w:rPr>
          <w:rFonts w:ascii="David" w:eastAsia="Calibri" w:hAnsi="David" w:cs="David"/>
          <w:sz w:val="24"/>
          <w:szCs w:val="24"/>
          <w:rtl/>
        </w:rPr>
        <w:t>, כ'-</w:t>
      </w:r>
      <w:r>
        <w:rPr>
          <w:rFonts w:ascii="David" w:eastAsia="Calibri" w:hAnsi="David" w:cs="David"/>
          <w:sz w:val="24"/>
          <w:szCs w:val="24"/>
          <w:rtl/>
        </w:rPr>
        <w:t>כ.</w:t>
      </w:r>
      <w:r w:rsidRPr="00944FC1">
        <w:rPr>
          <w:rFonts w:ascii="David" w:eastAsia="Calibri" w:hAnsi="David" w:cs="David"/>
          <w:sz w:val="24"/>
          <w:szCs w:val="24"/>
          <w:rtl/>
        </w:rPr>
        <w:t xml:space="preserve"> ור-</w:t>
      </w:r>
      <w:r>
        <w:rPr>
          <w:rFonts w:ascii="David" w:eastAsia="Calibri" w:hAnsi="David" w:cs="David"/>
          <w:sz w:val="24"/>
          <w:szCs w:val="24"/>
          <w:rtl/>
        </w:rPr>
        <w:t>ר.</w:t>
      </w:r>
      <w:r w:rsidRPr="00944FC1">
        <w:rPr>
          <w:rFonts w:ascii="David" w:eastAsia="Calibri" w:hAnsi="David" w:cs="David"/>
          <w:sz w:val="24"/>
          <w:szCs w:val="24"/>
          <w:rtl/>
        </w:rPr>
        <w:t xml:space="preserve">. בנוסף, התובעים טוענים כי </w:t>
      </w:r>
      <w:r>
        <w:rPr>
          <w:rFonts w:ascii="David" w:eastAsia="Calibri" w:hAnsi="David" w:cs="David"/>
          <w:sz w:val="24"/>
          <w:szCs w:val="24"/>
          <w:rtl/>
        </w:rPr>
        <w:t>מ.</w:t>
      </w:r>
      <w:r w:rsidRPr="00944FC1">
        <w:rPr>
          <w:rFonts w:ascii="David" w:eastAsia="Calibri" w:hAnsi="David" w:cs="David"/>
          <w:sz w:val="24"/>
          <w:szCs w:val="24"/>
          <w:rtl/>
        </w:rPr>
        <w:t xml:space="preserve"> קיבל לאורך השנים משכורת מהחברה מאחר שהיה בעל זכויות בה, ושיש לראות בתשלומי השכר הללו משום חלוקת רווחים דה-פקטו, המשקפת את הבעלות המשותפת בחברה</w:t>
      </w:r>
      <w:r w:rsidRPr="00944FC1">
        <w:rPr>
          <w:rFonts w:ascii="David" w:eastAsia="Calibri" w:hAnsi="David" w:cs="David"/>
          <w:sz w:val="24"/>
          <w:szCs w:val="24"/>
        </w:rPr>
        <w:t>.</w:t>
      </w:r>
      <w:r w:rsidRPr="00944FC1">
        <w:rPr>
          <w:rFonts w:ascii="David" w:eastAsia="Calibri" w:hAnsi="David" w:cs="David"/>
          <w:sz w:val="24"/>
          <w:szCs w:val="24"/>
          <w:rtl/>
        </w:rPr>
        <w:t xml:space="preserve"> </w:t>
      </w:r>
      <w:r w:rsidRPr="00944FC1">
        <w:rPr>
          <w:rFonts w:ascii="David" w:eastAsia="Calibri" w:hAnsi="David" w:cs="David" w:hint="cs"/>
          <w:sz w:val="24"/>
          <w:szCs w:val="24"/>
          <w:rtl/>
        </w:rPr>
        <w:t xml:space="preserve">לפיכך, לשיטתם, בהתאם לאותו הסדר משפחתי </w:t>
      </w:r>
      <w:r>
        <w:rPr>
          <w:rFonts w:ascii="David" w:eastAsia="Calibri" w:hAnsi="David" w:cs="David"/>
          <w:sz w:val="24"/>
          <w:szCs w:val="24"/>
          <w:rtl/>
        </w:rPr>
        <w:t>מ.</w:t>
      </w:r>
      <w:r w:rsidRPr="00944FC1">
        <w:rPr>
          <w:rFonts w:ascii="David" w:eastAsia="Calibri" w:hAnsi="David" w:cs="David"/>
          <w:sz w:val="24"/>
          <w:szCs w:val="24"/>
          <w:rtl/>
        </w:rPr>
        <w:t xml:space="preserve"> זכאי ל-40% מהון מניות החברה.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בהמשך לקביעות שקבעתי לעיל יש לדחות גם טענה זו; </w:t>
      </w:r>
      <w:r>
        <w:rPr>
          <w:rFonts w:ascii="David" w:eastAsia="Calibri" w:hAnsi="David" w:cs="David"/>
          <w:sz w:val="24"/>
          <w:szCs w:val="24"/>
          <w:rtl/>
        </w:rPr>
        <w:t>מ.</w:t>
      </w:r>
      <w:r w:rsidRPr="00944FC1">
        <w:rPr>
          <w:rFonts w:ascii="David" w:eastAsia="Calibri" w:hAnsi="David" w:cs="David"/>
          <w:sz w:val="24"/>
          <w:szCs w:val="24"/>
          <w:rtl/>
        </w:rPr>
        <w:t xml:space="preserve"> טען בכתב ההגנה שאין לו זכויות בחברה ועל כן יורשיו מושתקים מלטעון טענה הפוכה. החברה הוקמה לצורך בניה וניהול מבנה המשרדים והתובעים לא הוכיחו ש</w:t>
      </w:r>
      <w:r>
        <w:rPr>
          <w:rFonts w:ascii="David" w:eastAsia="Calibri" w:hAnsi="David" w:cs="David"/>
          <w:sz w:val="24"/>
          <w:szCs w:val="24"/>
          <w:rtl/>
        </w:rPr>
        <w:t>מ.</w:t>
      </w:r>
      <w:r w:rsidRPr="00944FC1">
        <w:rPr>
          <w:rFonts w:ascii="David" w:eastAsia="Calibri" w:hAnsi="David" w:cs="David"/>
          <w:sz w:val="24"/>
          <w:szCs w:val="24"/>
          <w:rtl/>
        </w:rPr>
        <w:t xml:space="preserve"> היה שותף בהשקעות בחברה בהיקף של 40%, ושבעקבות זו ניתנה לו התחייבות להעביר לו 40% מהון המניות.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התובעים גם לא הוכיחו ש</w:t>
      </w:r>
      <w:r>
        <w:rPr>
          <w:rFonts w:ascii="David" w:eastAsia="Calibri" w:hAnsi="David" w:cs="David"/>
          <w:sz w:val="24"/>
          <w:szCs w:val="24"/>
          <w:rtl/>
        </w:rPr>
        <w:t>מ.</w:t>
      </w:r>
      <w:r w:rsidRPr="00944FC1">
        <w:rPr>
          <w:rFonts w:ascii="David" w:eastAsia="Calibri" w:hAnsi="David" w:cs="David"/>
          <w:sz w:val="24"/>
          <w:szCs w:val="24"/>
          <w:rtl/>
        </w:rPr>
        <w:t xml:space="preserve"> היה מעורב בניהול החברה. </w:t>
      </w:r>
      <w:r>
        <w:rPr>
          <w:rFonts w:ascii="David" w:eastAsia="Calibri" w:hAnsi="David" w:cs="David"/>
          <w:sz w:val="24"/>
          <w:szCs w:val="24"/>
          <w:rtl/>
        </w:rPr>
        <w:t>ח.</w:t>
      </w:r>
      <w:r w:rsidRPr="00944FC1">
        <w:rPr>
          <w:rFonts w:ascii="David" w:eastAsia="Calibri" w:hAnsi="David" w:cs="David"/>
          <w:sz w:val="24"/>
          <w:szCs w:val="24"/>
          <w:rtl/>
        </w:rPr>
        <w:t xml:space="preserve"> אישר בפגישה המשפחתית ש</w:t>
      </w:r>
      <w:r>
        <w:rPr>
          <w:rFonts w:ascii="David" w:eastAsia="Calibri" w:hAnsi="David" w:cs="David"/>
          <w:sz w:val="24"/>
          <w:szCs w:val="24"/>
          <w:rtl/>
        </w:rPr>
        <w:t>מ.</w:t>
      </w:r>
      <w:r w:rsidRPr="00944FC1">
        <w:rPr>
          <w:rFonts w:ascii="David" w:eastAsia="Calibri" w:hAnsi="David" w:cs="David"/>
          <w:sz w:val="24"/>
          <w:szCs w:val="24"/>
          <w:rtl/>
        </w:rPr>
        <w:t xml:space="preserve"> קיבל משכורת מהחברה פעם או פעמיים בלבד (תמליל עמ' 175-174), והתובעים לא הוכיחו אחרת. את </w:t>
      </w:r>
      <w:r w:rsidRPr="00944FC1">
        <w:rPr>
          <w:rFonts w:ascii="David" w:eastAsia="Calibri" w:hAnsi="David" w:cs="David"/>
          <w:sz w:val="24"/>
          <w:szCs w:val="24"/>
          <w:rtl/>
        </w:rPr>
        <w:lastRenderedPageBreak/>
        <w:t xml:space="preserve">קבלת המשכורת מהחברה יש לזקוף לזכותו של </w:t>
      </w:r>
      <w:r>
        <w:rPr>
          <w:rFonts w:ascii="David" w:eastAsia="Calibri" w:hAnsi="David" w:cs="David"/>
          <w:sz w:val="24"/>
          <w:szCs w:val="24"/>
          <w:rtl/>
        </w:rPr>
        <w:t>ח.</w:t>
      </w:r>
      <w:r w:rsidRPr="00944FC1">
        <w:rPr>
          <w:rFonts w:ascii="David" w:eastAsia="Calibri" w:hAnsi="David" w:cs="David"/>
          <w:sz w:val="24"/>
          <w:szCs w:val="24"/>
          <w:rtl/>
        </w:rPr>
        <w:t xml:space="preserve"> שחיפש דרכים לתמוך ב</w:t>
      </w:r>
      <w:r>
        <w:rPr>
          <w:rFonts w:ascii="David" w:eastAsia="Calibri" w:hAnsi="David" w:cs="David"/>
          <w:sz w:val="24"/>
          <w:szCs w:val="24"/>
          <w:rtl/>
        </w:rPr>
        <w:t>מ.</w:t>
      </w:r>
      <w:r w:rsidRPr="00944FC1">
        <w:rPr>
          <w:rFonts w:ascii="David" w:eastAsia="Calibri" w:hAnsi="David" w:cs="David"/>
          <w:sz w:val="24"/>
          <w:szCs w:val="24"/>
          <w:rtl/>
        </w:rPr>
        <w:t xml:space="preserve"> ואין ללמוד ממנה שראה בו שותף במניות החברה. מנורי, רואה החשבון של החברה, אישר בחקירתו כי רק </w:t>
      </w:r>
      <w:r>
        <w:rPr>
          <w:rFonts w:ascii="David" w:eastAsia="Calibri" w:hAnsi="David" w:cs="David"/>
          <w:sz w:val="24"/>
          <w:szCs w:val="24"/>
          <w:rtl/>
        </w:rPr>
        <w:t>ח.</w:t>
      </w:r>
      <w:r w:rsidRPr="00944FC1">
        <w:rPr>
          <w:rFonts w:ascii="David" w:eastAsia="Calibri" w:hAnsi="David" w:cs="David"/>
          <w:sz w:val="24"/>
          <w:szCs w:val="24"/>
          <w:rtl/>
        </w:rPr>
        <w:t xml:space="preserve"> חתם על דוחות החברה (פרוטוקול עמ' 17), עו"ד אברמוב, עורך הדין של החברה, אישר כי עבד מול </w:t>
      </w:r>
      <w:r>
        <w:rPr>
          <w:rFonts w:ascii="David" w:eastAsia="Calibri" w:hAnsi="David" w:cs="David"/>
          <w:sz w:val="24"/>
          <w:szCs w:val="24"/>
          <w:rtl/>
        </w:rPr>
        <w:t>ח.</w:t>
      </w:r>
      <w:r w:rsidRPr="00944FC1">
        <w:rPr>
          <w:rFonts w:ascii="David" w:eastAsia="Calibri" w:hAnsi="David" w:cs="David"/>
          <w:sz w:val="24"/>
          <w:szCs w:val="24"/>
          <w:rtl/>
        </w:rPr>
        <w:t xml:space="preserve"> (עמ' 73,75).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אומנם, הנתבעות אינן חולקות כי בהתאם לסיכום שנערך בתום הפגישה המשפחתית </w:t>
      </w:r>
      <w:r>
        <w:rPr>
          <w:rFonts w:ascii="David" w:eastAsia="Calibri" w:hAnsi="David" w:cs="David"/>
          <w:sz w:val="24"/>
          <w:szCs w:val="24"/>
          <w:rtl/>
        </w:rPr>
        <w:t>ח.</w:t>
      </w:r>
      <w:r w:rsidRPr="00944FC1">
        <w:rPr>
          <w:rFonts w:ascii="David" w:eastAsia="Calibri" w:hAnsi="David" w:cs="David"/>
          <w:sz w:val="24"/>
          <w:szCs w:val="24"/>
          <w:rtl/>
        </w:rPr>
        <w:t xml:space="preserve"> הסכים להעביר ל</w:t>
      </w:r>
      <w:r>
        <w:rPr>
          <w:rFonts w:ascii="David" w:eastAsia="Calibri" w:hAnsi="David" w:cs="David"/>
          <w:sz w:val="24"/>
          <w:szCs w:val="24"/>
          <w:rtl/>
        </w:rPr>
        <w:t>מ.</w:t>
      </w:r>
      <w:r w:rsidRPr="00944FC1">
        <w:rPr>
          <w:rFonts w:ascii="David" w:eastAsia="Calibri" w:hAnsi="David" w:cs="David"/>
          <w:sz w:val="24"/>
          <w:szCs w:val="24"/>
          <w:rtl/>
        </w:rPr>
        <w:t xml:space="preserve"> חלק מהחברה (סעיף 172 בסיכומים) ואולם כאמור סיכום זה היה מותנה בחתימה של  </w:t>
      </w:r>
      <w:r>
        <w:rPr>
          <w:rFonts w:ascii="David" w:eastAsia="Calibri" w:hAnsi="David" w:cs="David"/>
          <w:sz w:val="24"/>
          <w:szCs w:val="24"/>
          <w:rtl/>
        </w:rPr>
        <w:t>מ.</w:t>
      </w:r>
      <w:r w:rsidRPr="00944FC1">
        <w:rPr>
          <w:rFonts w:ascii="David" w:eastAsia="Calibri" w:hAnsi="David" w:cs="David"/>
          <w:sz w:val="24"/>
          <w:szCs w:val="24"/>
          <w:rtl/>
        </w:rPr>
        <w:t xml:space="preserve">, ובהעדרה הסיכום לא יצא לפועל.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3463A9" w:rsidP="003463A9">
      <w:pPr>
        <w:spacing w:after="0" w:line="360" w:lineRule="auto"/>
        <w:ind w:left="-113" w:right="-113"/>
        <w:mirrorIndents/>
        <w:jc w:val="both"/>
        <w:rPr>
          <w:rFonts w:ascii="David" w:eastAsia="Calibri" w:hAnsi="David" w:cs="David"/>
          <w:sz w:val="24"/>
          <w:szCs w:val="24"/>
          <w:rtl/>
        </w:rPr>
      </w:pPr>
      <w:r>
        <w:rPr>
          <w:rFonts w:ascii="David" w:eastAsia="Calibri" w:hAnsi="David" w:cs="David"/>
          <w:b/>
          <w:bCs/>
          <w:sz w:val="24"/>
          <w:szCs w:val="24"/>
          <w:u w:val="single"/>
          <w:rtl/>
        </w:rPr>
        <w:t>שותפות ח.מ.</w:t>
      </w:r>
      <w:r>
        <w:rPr>
          <w:rFonts w:ascii="David" w:eastAsia="Calibri" w:hAnsi="David" w:cs="David" w:hint="cs"/>
          <w:b/>
          <w:bCs/>
          <w:sz w:val="24"/>
          <w:szCs w:val="24"/>
          <w:u w:val="single"/>
          <w:rtl/>
        </w:rPr>
        <w:t>מ.</w:t>
      </w:r>
    </w:p>
    <w:p w:rsidR="00944FC1" w:rsidRPr="00944FC1" w:rsidRDefault="00944FC1" w:rsidP="00944FC1">
      <w:pPr>
        <w:spacing w:after="0" w:line="360" w:lineRule="auto"/>
        <w:ind w:left="-113" w:right="-113"/>
        <w:mirrorIndents/>
        <w:jc w:val="both"/>
        <w:rPr>
          <w:rFonts w:ascii="David" w:eastAsia="Calibri" w:hAnsi="David" w:cs="David"/>
          <w:sz w:val="24"/>
          <w:szCs w:val="24"/>
        </w:rPr>
      </w:pPr>
    </w:p>
    <w:p w:rsidR="00944FC1" w:rsidRPr="00944FC1" w:rsidRDefault="00944FC1" w:rsidP="00402910">
      <w:pPr>
        <w:numPr>
          <w:ilvl w:val="0"/>
          <w:numId w:val="1"/>
        </w:numPr>
        <w:spacing w:after="0" w:line="360" w:lineRule="auto"/>
        <w:ind w:left="215" w:hanging="215"/>
        <w:contextualSpacing/>
        <w:mirrorIndents/>
        <w:jc w:val="both"/>
        <w:rPr>
          <w:rFonts w:ascii="David" w:eastAsia="Calibri" w:hAnsi="David" w:cs="David"/>
          <w:sz w:val="24"/>
          <w:szCs w:val="24"/>
          <w:rtl/>
        </w:rPr>
      </w:pPr>
      <w:r w:rsidRPr="00944FC1">
        <w:rPr>
          <w:rFonts w:ascii="David" w:eastAsia="Calibri" w:hAnsi="David" w:cs="David"/>
          <w:sz w:val="24"/>
          <w:szCs w:val="24"/>
          <w:rtl/>
        </w:rPr>
        <w:t xml:space="preserve">כאמור העסק לחומרי בניין נוהל בשותפות בין האחים המנוחים. לשותפות היה חשבון בנק בבנק לאומי. </w:t>
      </w:r>
      <w:r>
        <w:rPr>
          <w:rFonts w:ascii="David" w:eastAsia="Calibri" w:hAnsi="David" w:cs="David"/>
          <w:sz w:val="24"/>
          <w:szCs w:val="24"/>
          <w:rtl/>
        </w:rPr>
        <w:t>ח.</w:t>
      </w:r>
      <w:r w:rsidRPr="00944FC1">
        <w:rPr>
          <w:rFonts w:ascii="David" w:eastAsia="Calibri" w:hAnsi="David" w:cs="David"/>
          <w:sz w:val="24"/>
          <w:szCs w:val="24"/>
          <w:rtl/>
        </w:rPr>
        <w:t xml:space="preserve"> היה רשום כבעל החשבון ו</w:t>
      </w:r>
      <w:r>
        <w:rPr>
          <w:rFonts w:ascii="David" w:eastAsia="Calibri" w:hAnsi="David" w:cs="David"/>
          <w:sz w:val="24"/>
          <w:szCs w:val="24"/>
          <w:rtl/>
        </w:rPr>
        <w:t>מ.</w:t>
      </w:r>
      <w:r w:rsidRPr="00944FC1">
        <w:rPr>
          <w:rFonts w:ascii="David" w:eastAsia="Calibri" w:hAnsi="David" w:cs="David"/>
          <w:sz w:val="24"/>
          <w:szCs w:val="24"/>
          <w:rtl/>
        </w:rPr>
        <w:t xml:space="preserve"> היה מיופה כוח בו. לחשבון זה הופקדו בין היתר גם דמי השכירות של תחנת הדלק, שהייתה כאמור בבעלות משותפת של האחים. לאחר פטירתו של </w:t>
      </w:r>
      <w:r>
        <w:rPr>
          <w:rFonts w:ascii="David" w:eastAsia="Calibri" w:hAnsi="David" w:cs="David"/>
          <w:sz w:val="24"/>
          <w:szCs w:val="24"/>
          <w:rtl/>
        </w:rPr>
        <w:t>ח.</w:t>
      </w:r>
      <w:r w:rsidRPr="00944FC1">
        <w:rPr>
          <w:rFonts w:ascii="David" w:eastAsia="Calibri" w:hAnsi="David" w:cs="David"/>
          <w:sz w:val="24"/>
          <w:szCs w:val="24"/>
          <w:rtl/>
        </w:rPr>
        <w:t xml:space="preserve"> הוקפאה הפעילות בחשבון. התובעים טוענים שיש לחלק את נכסי השותפות ובכלל זה את חשבון הבנק בחלקים שווים בין הצדדים. לפני הגשת התביעה </w:t>
      </w:r>
      <w:r>
        <w:rPr>
          <w:rFonts w:ascii="David" w:eastAsia="Calibri" w:hAnsi="David" w:cs="David"/>
          <w:sz w:val="24"/>
          <w:szCs w:val="24"/>
          <w:rtl/>
        </w:rPr>
        <w:t>א.</w:t>
      </w:r>
      <w:r w:rsidRPr="00944FC1">
        <w:rPr>
          <w:rFonts w:ascii="David" w:eastAsia="Calibri" w:hAnsi="David" w:cs="David"/>
          <w:sz w:val="24"/>
          <w:szCs w:val="24"/>
          <w:rtl/>
        </w:rPr>
        <w:t xml:space="preserve"> טענה שאין לתובעים חלק בחשבון השותפות בבנק לאומי שכן הוא רשום ע"ש </w:t>
      </w:r>
      <w:r>
        <w:rPr>
          <w:rFonts w:ascii="David" w:eastAsia="Calibri" w:hAnsi="David" w:cs="David"/>
          <w:sz w:val="24"/>
          <w:szCs w:val="24"/>
          <w:rtl/>
        </w:rPr>
        <w:t>ח.</w:t>
      </w:r>
      <w:r w:rsidRPr="00944FC1">
        <w:rPr>
          <w:rFonts w:ascii="David" w:eastAsia="Calibri" w:hAnsi="David" w:cs="David"/>
          <w:sz w:val="24"/>
          <w:szCs w:val="24"/>
          <w:rtl/>
        </w:rPr>
        <w:t xml:space="preserve"> בלבד (מכתבה מיום 26.12.2023-נספח 26 לתצהיר התובעים) בכתב ההגנה שהגישה, </w:t>
      </w:r>
      <w:r>
        <w:rPr>
          <w:rFonts w:ascii="David" w:eastAsia="Calibri" w:hAnsi="David" w:cs="David"/>
          <w:sz w:val="24"/>
          <w:szCs w:val="24"/>
          <w:rtl/>
        </w:rPr>
        <w:t>א.</w:t>
      </w:r>
      <w:r w:rsidRPr="00944FC1">
        <w:rPr>
          <w:rFonts w:ascii="David" w:eastAsia="Calibri" w:hAnsi="David" w:cs="David"/>
          <w:sz w:val="24"/>
          <w:szCs w:val="24"/>
          <w:rtl/>
        </w:rPr>
        <w:t xml:space="preserve"> אישרה שחשבון השותפות שייך גם לתובעים אך היא טוענת שיש לחלק את נכסי השותפות בחלוקה של 60% לה ו-40% לתובעים, בהתאמה לחלוקה שנהגה בין האחים המנוחים. </w:t>
      </w:r>
    </w:p>
    <w:p w:rsidR="00944FC1" w:rsidRPr="00944FC1" w:rsidRDefault="00944FC1" w:rsidP="00944FC1">
      <w:pPr>
        <w:spacing w:after="0" w:line="360" w:lineRule="auto"/>
        <w:ind w:left="501"/>
        <w:contextualSpacing/>
        <w:mirrorIndents/>
        <w:jc w:val="both"/>
        <w:rPr>
          <w:rFonts w:ascii="David" w:eastAsia="Calibri" w:hAnsi="David" w:cs="David"/>
          <w:b/>
          <w:bCs/>
          <w:sz w:val="24"/>
          <w:szCs w:val="24"/>
          <w:u w:val="single"/>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גם בתצהיר שהגישה, </w:t>
      </w:r>
      <w:r>
        <w:rPr>
          <w:rFonts w:ascii="David" w:eastAsia="Calibri" w:hAnsi="David" w:cs="David"/>
          <w:sz w:val="24"/>
          <w:szCs w:val="24"/>
          <w:rtl/>
        </w:rPr>
        <w:t>א.</w:t>
      </w:r>
      <w:r w:rsidRPr="00944FC1">
        <w:rPr>
          <w:rFonts w:ascii="David" w:eastAsia="Calibri" w:hAnsi="David" w:cs="David"/>
          <w:sz w:val="24"/>
          <w:szCs w:val="24"/>
          <w:rtl/>
        </w:rPr>
        <w:t xml:space="preserve"> טענה שיש לחלק את נכסי השותפות 60%-40%. התובעים טוענים כי זו הייתה החלוקה בין הצדדים בעבר כאשר </w:t>
      </w:r>
      <w:r>
        <w:rPr>
          <w:rFonts w:ascii="David" w:eastAsia="Calibri" w:hAnsi="David" w:cs="David"/>
          <w:sz w:val="24"/>
          <w:szCs w:val="24"/>
          <w:rtl/>
        </w:rPr>
        <w:t>א.</w:t>
      </w:r>
      <w:r w:rsidRPr="00944FC1">
        <w:rPr>
          <w:rFonts w:ascii="David" w:eastAsia="Calibri" w:hAnsi="David" w:cs="David"/>
          <w:sz w:val="24"/>
          <w:szCs w:val="24"/>
          <w:rtl/>
        </w:rPr>
        <w:t xml:space="preserve"> עבדה בעסק ואולם משנת 1988, חולקו ההכנסות בחלקים שווים בין האחים המנוחים. הם טוענים שאת הכספים בחשבון הבנק של השותפות יש לחלק בדרך זהה, מחצית לכל צד.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אני מקבלת את טענת התובעים שכן היא מתיישבת עם האסמכתאות שהוצגו. כאשר נוסדה השותפות השקיע כל אחד מהאחים סכום זהה, 97,000 ל"י (הצהרת ההון של </w:t>
      </w:r>
      <w:r>
        <w:rPr>
          <w:rFonts w:ascii="David" w:eastAsia="Calibri" w:hAnsi="David" w:cs="David"/>
          <w:sz w:val="24"/>
          <w:szCs w:val="24"/>
          <w:rtl/>
        </w:rPr>
        <w:t>ח.</w:t>
      </w:r>
      <w:r w:rsidRPr="00944FC1">
        <w:rPr>
          <w:rFonts w:ascii="David" w:eastAsia="Calibri" w:hAnsi="David" w:cs="David"/>
          <w:sz w:val="24"/>
          <w:szCs w:val="24"/>
          <w:rtl/>
        </w:rPr>
        <w:t xml:space="preserve"> מיום 2.12.21974-נספח 16 לתצהיר </w:t>
      </w:r>
      <w:r>
        <w:rPr>
          <w:rFonts w:ascii="David" w:eastAsia="Calibri" w:hAnsi="David" w:cs="David"/>
          <w:sz w:val="24"/>
          <w:szCs w:val="24"/>
          <w:rtl/>
        </w:rPr>
        <w:t>א.</w:t>
      </w:r>
      <w:r w:rsidRPr="00944FC1">
        <w:rPr>
          <w:rFonts w:ascii="David" w:eastAsia="Calibri" w:hAnsi="David" w:cs="David"/>
          <w:sz w:val="24"/>
          <w:szCs w:val="24"/>
          <w:rtl/>
        </w:rPr>
        <w:t xml:space="preserve">). אם חולקו רווחי השותפות בחלקים לא שווים בתחילת הדרך הרי שיש לשייך זאת לעבודתה של </w:t>
      </w:r>
      <w:r>
        <w:rPr>
          <w:rFonts w:ascii="David" w:eastAsia="Calibri" w:hAnsi="David" w:cs="David"/>
          <w:sz w:val="24"/>
          <w:szCs w:val="24"/>
          <w:rtl/>
        </w:rPr>
        <w:t>א.</w:t>
      </w:r>
      <w:r w:rsidRPr="00944FC1">
        <w:rPr>
          <w:rFonts w:ascii="David" w:eastAsia="Calibri" w:hAnsi="David" w:cs="David"/>
          <w:sz w:val="24"/>
          <w:szCs w:val="24"/>
          <w:rtl/>
        </w:rPr>
        <w:t xml:space="preserve"> בעסק, וזאת בהעדר הסבר אחר מטעמה של </w:t>
      </w:r>
      <w:r>
        <w:rPr>
          <w:rFonts w:ascii="David" w:eastAsia="Calibri" w:hAnsi="David" w:cs="David"/>
          <w:sz w:val="24"/>
          <w:szCs w:val="24"/>
          <w:rtl/>
        </w:rPr>
        <w:t>א.</w:t>
      </w:r>
      <w:r w:rsidRPr="00944FC1">
        <w:rPr>
          <w:rFonts w:ascii="David" w:eastAsia="Calibri" w:hAnsi="David" w:cs="David"/>
          <w:sz w:val="24"/>
          <w:szCs w:val="24"/>
          <w:rtl/>
        </w:rPr>
        <w:t xml:space="preserve"> לחלוקה </w:t>
      </w:r>
      <w:r w:rsidRPr="00944FC1">
        <w:rPr>
          <w:rFonts w:ascii="David" w:eastAsia="Calibri" w:hAnsi="David" w:cs="David" w:hint="cs"/>
          <w:sz w:val="24"/>
          <w:szCs w:val="24"/>
          <w:rtl/>
        </w:rPr>
        <w:t>שכ</w:t>
      </w:r>
      <w:r w:rsidRPr="00944FC1">
        <w:rPr>
          <w:rFonts w:ascii="David" w:eastAsia="Calibri" w:hAnsi="David" w:cs="David"/>
          <w:sz w:val="24"/>
          <w:szCs w:val="24"/>
          <w:rtl/>
        </w:rPr>
        <w:t xml:space="preserve">זו. בהמשך חולקו הרווחים בחלקים שווים. </w:t>
      </w:r>
      <w:r>
        <w:rPr>
          <w:rFonts w:ascii="David" w:eastAsia="Calibri" w:hAnsi="David" w:cs="David"/>
          <w:sz w:val="24"/>
          <w:szCs w:val="24"/>
          <w:rtl/>
        </w:rPr>
        <w:t>ח.</w:t>
      </w:r>
      <w:r w:rsidRPr="00944FC1">
        <w:rPr>
          <w:rFonts w:ascii="David" w:eastAsia="Calibri" w:hAnsi="David" w:cs="David"/>
          <w:sz w:val="24"/>
          <w:szCs w:val="24"/>
          <w:rtl/>
        </w:rPr>
        <w:t xml:space="preserve"> מאשר זאת בשיחה עם </w:t>
      </w:r>
      <w:r>
        <w:rPr>
          <w:rFonts w:ascii="David" w:eastAsia="Calibri" w:hAnsi="David" w:cs="David" w:hint="cs"/>
          <w:sz w:val="24"/>
          <w:szCs w:val="24"/>
          <w:rtl/>
        </w:rPr>
        <w:t xml:space="preserve">בתו </w:t>
      </w:r>
      <w:r w:rsidRPr="00944FC1">
        <w:rPr>
          <w:rFonts w:ascii="David" w:eastAsia="Calibri" w:hAnsi="David" w:cs="David"/>
          <w:sz w:val="24"/>
          <w:szCs w:val="24"/>
          <w:rtl/>
        </w:rPr>
        <w:t>שהתקיימה</w:t>
      </w:r>
      <w:r w:rsidRPr="00944FC1">
        <w:rPr>
          <w:rFonts w:ascii="David" w:eastAsia="Calibri" w:hAnsi="David" w:cs="David" w:hint="cs"/>
          <w:sz w:val="24"/>
          <w:szCs w:val="24"/>
          <w:rtl/>
        </w:rPr>
        <w:t xml:space="preserve"> בשנת 2019 </w:t>
      </w:r>
      <w:r w:rsidRPr="00944FC1">
        <w:rPr>
          <w:rFonts w:ascii="David" w:eastAsia="Calibri" w:hAnsi="David" w:cs="David"/>
          <w:sz w:val="24"/>
          <w:szCs w:val="24"/>
          <w:rtl/>
        </w:rPr>
        <w:t>, ושהוקלטה על ידה. הוא מסביר בשיחה זו כי ההכנסות מהעסק הלכו ופחתו ועל כן הציע ל</w:t>
      </w:r>
      <w:r>
        <w:rPr>
          <w:rFonts w:ascii="David" w:eastAsia="Calibri" w:hAnsi="David" w:cs="David"/>
          <w:sz w:val="24"/>
          <w:szCs w:val="24"/>
          <w:rtl/>
        </w:rPr>
        <w:t>מ.</w:t>
      </w:r>
      <w:r w:rsidRPr="00944FC1">
        <w:rPr>
          <w:rFonts w:ascii="David" w:eastAsia="Calibri" w:hAnsi="David" w:cs="David"/>
          <w:sz w:val="24"/>
          <w:szCs w:val="24"/>
          <w:rtl/>
        </w:rPr>
        <w:t xml:space="preserve"> להפוך את החלוקה  "חזרה לחמישים אחוז" (תמליל </w:t>
      </w:r>
      <w:r w:rsidRPr="00944FC1">
        <w:rPr>
          <w:rFonts w:ascii="David" w:eastAsia="Calibri" w:hAnsi="David" w:cs="David" w:hint="cs"/>
          <w:sz w:val="24"/>
          <w:szCs w:val="24"/>
          <w:rtl/>
        </w:rPr>
        <w:t xml:space="preserve">השיחה נספח 7, </w:t>
      </w:r>
      <w:r w:rsidRPr="00944FC1">
        <w:rPr>
          <w:rFonts w:ascii="David" w:eastAsia="Calibri" w:hAnsi="David" w:cs="David"/>
          <w:sz w:val="24"/>
          <w:szCs w:val="24"/>
          <w:rtl/>
        </w:rPr>
        <w:t xml:space="preserve">עמ' 45). כרטסת הנהלת החשבונות לשנים 2019-2016 (נספח 23 לתצהיר התובעים) מלמדת שעל דרך הכלל כך התנהלו </w:t>
      </w:r>
      <w:r w:rsidRPr="00944FC1">
        <w:rPr>
          <w:rFonts w:ascii="David" w:eastAsia="Calibri" w:hAnsi="David" w:cs="David"/>
          <w:sz w:val="24"/>
          <w:szCs w:val="24"/>
          <w:rtl/>
        </w:rPr>
        <w:lastRenderedPageBreak/>
        <w:t xml:space="preserve">האחים המנוחים והם משכו מהשותפות סכומים זהים. גם רו"ח מנורי, שהיה רו"ח של השותפות בין השנים 2019-2016 אישר בחקירתו שהכנסות השותפות חולקו 50%-50% (פרוטוקול עמ' 12). </w:t>
      </w:r>
      <w:r>
        <w:rPr>
          <w:rFonts w:ascii="David" w:eastAsia="Calibri" w:hAnsi="David" w:cs="David"/>
          <w:sz w:val="24"/>
          <w:szCs w:val="24"/>
          <w:rtl/>
        </w:rPr>
        <w:t>א.</w:t>
      </w:r>
      <w:r w:rsidRPr="00944FC1">
        <w:rPr>
          <w:rFonts w:ascii="David" w:eastAsia="Calibri" w:hAnsi="David" w:cs="David"/>
          <w:sz w:val="24"/>
          <w:szCs w:val="24"/>
          <w:rtl/>
        </w:rPr>
        <w:t xml:space="preserve"> בחקירתה מאשרת שהחלוקה בחשבון הבנק צ"ל 50%-50% (עמ' 81) ואף מאשרת כי אומנם בתחילה החלוקה הייתה שונה ואולם בשל ירידת ההכנסות </w:t>
      </w:r>
      <w:r>
        <w:rPr>
          <w:rFonts w:ascii="David" w:eastAsia="Calibri" w:hAnsi="David" w:cs="David"/>
          <w:sz w:val="24"/>
          <w:szCs w:val="24"/>
          <w:rtl/>
        </w:rPr>
        <w:t>ח.</w:t>
      </w:r>
      <w:r w:rsidRPr="00944FC1">
        <w:rPr>
          <w:rFonts w:ascii="David" w:eastAsia="Calibri" w:hAnsi="David" w:cs="David"/>
          <w:sz w:val="24"/>
          <w:szCs w:val="24"/>
          <w:rtl/>
        </w:rPr>
        <w:t xml:space="preserve"> הפך את החלוקה ל-50%-50% (עמ' 117). גם אם אקבל את טענת </w:t>
      </w:r>
      <w:r>
        <w:rPr>
          <w:rFonts w:ascii="David" w:eastAsia="Calibri" w:hAnsi="David" w:cs="David"/>
          <w:sz w:val="24"/>
          <w:szCs w:val="24"/>
          <w:rtl/>
        </w:rPr>
        <w:t>א.</w:t>
      </w:r>
      <w:r w:rsidRPr="00944FC1">
        <w:rPr>
          <w:rFonts w:ascii="David" w:eastAsia="Calibri" w:hAnsi="David" w:cs="David"/>
          <w:sz w:val="24"/>
          <w:szCs w:val="24"/>
          <w:rtl/>
        </w:rPr>
        <w:t xml:space="preserve"> שמדובר בחלוקה המבוססת על רצונו הטוב של </w:t>
      </w:r>
      <w:r>
        <w:rPr>
          <w:rFonts w:ascii="David" w:eastAsia="Calibri" w:hAnsi="David" w:cs="David"/>
          <w:sz w:val="24"/>
          <w:szCs w:val="24"/>
          <w:rtl/>
        </w:rPr>
        <w:t>ח.</w:t>
      </w:r>
      <w:r w:rsidRPr="00944FC1">
        <w:rPr>
          <w:rFonts w:ascii="David" w:eastAsia="Calibri" w:hAnsi="David" w:cs="David"/>
          <w:sz w:val="24"/>
          <w:szCs w:val="24"/>
          <w:rtl/>
        </w:rPr>
        <w:t xml:space="preserve"> אין סיבה לשנות מרצונו זה. </w:t>
      </w:r>
      <w:r>
        <w:rPr>
          <w:rFonts w:ascii="David" w:eastAsia="Calibri" w:hAnsi="David" w:cs="David"/>
          <w:sz w:val="24"/>
          <w:szCs w:val="24"/>
          <w:rtl/>
        </w:rPr>
        <w:t>ח.</w:t>
      </w:r>
      <w:r w:rsidRPr="00944FC1">
        <w:rPr>
          <w:rFonts w:ascii="David" w:eastAsia="Calibri" w:hAnsi="David" w:cs="David"/>
          <w:sz w:val="24"/>
          <w:szCs w:val="24"/>
          <w:rtl/>
        </w:rPr>
        <w:t xml:space="preserve"> לא סבר שיש לשנות את החלוקה בין האחים ודבק בה במשך שנים רבות. </w:t>
      </w:r>
      <w:r>
        <w:rPr>
          <w:rFonts w:ascii="David" w:eastAsia="Calibri" w:hAnsi="David" w:cs="David"/>
          <w:sz w:val="24"/>
          <w:szCs w:val="24"/>
          <w:rtl/>
        </w:rPr>
        <w:t>א.</w:t>
      </w:r>
      <w:r w:rsidRPr="00944FC1">
        <w:rPr>
          <w:rFonts w:ascii="David" w:eastAsia="Calibri" w:hAnsi="David" w:cs="David"/>
          <w:sz w:val="24"/>
          <w:szCs w:val="24"/>
          <w:rtl/>
        </w:rPr>
        <w:t xml:space="preserve"> כיורשת שלו מחויבת גם היא לרצונו זה. </w:t>
      </w:r>
    </w:p>
    <w:p w:rsidR="00944FC1" w:rsidRPr="00944FC1" w:rsidRDefault="00944FC1" w:rsidP="00944FC1">
      <w:pPr>
        <w:spacing w:after="0" w:line="360" w:lineRule="auto"/>
        <w:ind w:left="215"/>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לפיכך יש לחלק את נכסי השותפות שנותרו (חשבון הבנק, שווי המלאי (ועל כך להלן), וכל נכס אחר שימצא) בחלקים שווים.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מבקשים למנות רואה חשבון על מנת שיבדוק את הפעולות הכספיות שנערכו בחשבון השותפות לאחר פטירת </w:t>
      </w:r>
      <w:r>
        <w:rPr>
          <w:rFonts w:ascii="David" w:eastAsia="Calibri" w:hAnsi="David" w:cs="David"/>
          <w:sz w:val="24"/>
          <w:szCs w:val="24"/>
          <w:rtl/>
        </w:rPr>
        <w:t>מ.</w:t>
      </w:r>
      <w:r w:rsidRPr="00944FC1">
        <w:rPr>
          <w:rFonts w:ascii="David" w:eastAsia="Calibri" w:hAnsi="David" w:cs="David"/>
          <w:sz w:val="24"/>
          <w:szCs w:val="24"/>
          <w:rtl/>
        </w:rPr>
        <w:t xml:space="preserve">, ולאחר פטירת </w:t>
      </w:r>
      <w:r>
        <w:rPr>
          <w:rFonts w:ascii="David" w:eastAsia="Calibri" w:hAnsi="David" w:cs="David"/>
          <w:sz w:val="24"/>
          <w:szCs w:val="24"/>
          <w:rtl/>
        </w:rPr>
        <w:t>ח.</w:t>
      </w:r>
      <w:r w:rsidRPr="00944FC1">
        <w:rPr>
          <w:rFonts w:ascii="David" w:eastAsia="Calibri" w:hAnsi="David" w:cs="David"/>
          <w:sz w:val="24"/>
          <w:szCs w:val="24"/>
          <w:rtl/>
        </w:rPr>
        <w:t xml:space="preserve">. </w:t>
      </w:r>
      <w:r>
        <w:rPr>
          <w:rFonts w:ascii="David" w:eastAsia="Calibri" w:hAnsi="David" w:cs="David"/>
          <w:sz w:val="24"/>
          <w:szCs w:val="24"/>
          <w:rtl/>
        </w:rPr>
        <w:t>א.</w:t>
      </w:r>
      <w:r w:rsidRPr="00944FC1">
        <w:rPr>
          <w:rFonts w:ascii="David" w:eastAsia="Calibri" w:hAnsi="David" w:cs="David"/>
          <w:sz w:val="24"/>
          <w:szCs w:val="24"/>
          <w:rtl/>
        </w:rPr>
        <w:t xml:space="preserve"> סבורה שאין מקום לכך שכן מרבית הכספים נותרו בחשבון הבנק של התובעים. גם בעניין זה מצאתי לקבל את עמדת התובעים. לאחר פטירתו של </w:t>
      </w:r>
      <w:r>
        <w:rPr>
          <w:rFonts w:ascii="David" w:eastAsia="Calibri" w:hAnsi="David" w:cs="David"/>
          <w:sz w:val="24"/>
          <w:szCs w:val="24"/>
          <w:rtl/>
        </w:rPr>
        <w:t>ח.</w:t>
      </w:r>
      <w:r>
        <w:rPr>
          <w:rFonts w:ascii="David" w:eastAsia="Calibri" w:hAnsi="David" w:cs="David" w:hint="cs"/>
          <w:sz w:val="24"/>
          <w:szCs w:val="24"/>
          <w:rtl/>
        </w:rPr>
        <w:t>,</w:t>
      </w:r>
      <w:r w:rsidRPr="00944FC1">
        <w:rPr>
          <w:rFonts w:ascii="David" w:eastAsia="Calibri" w:hAnsi="David" w:cs="David"/>
          <w:sz w:val="24"/>
          <w:szCs w:val="24"/>
          <w:rtl/>
        </w:rPr>
        <w:t xml:space="preserve"> ו</w:t>
      </w:r>
      <w:r>
        <w:rPr>
          <w:rFonts w:ascii="David" w:eastAsia="Calibri" w:hAnsi="David" w:cs="David" w:hint="cs"/>
          <w:sz w:val="24"/>
          <w:szCs w:val="24"/>
          <w:rtl/>
        </w:rPr>
        <w:t>.</w:t>
      </w:r>
      <w:r w:rsidRPr="00944FC1">
        <w:rPr>
          <w:rFonts w:ascii="David" w:eastAsia="Calibri" w:hAnsi="David" w:cs="David"/>
          <w:sz w:val="24"/>
          <w:szCs w:val="24"/>
          <w:rtl/>
        </w:rPr>
        <w:t xml:space="preserve"> רכשה את מלאי החנות תמורת 67,000 ₪. התובעים לא היו שותפים למהלך, לדבריה בשל נתק בין המשפחות (עמ' 53). יש לבדוק האם אכן נרכש המלאי במחיר שוק. גם את הפעולות שבוצעו בחשבון השותפות לאחר פטירתו של </w:t>
      </w:r>
      <w:r>
        <w:rPr>
          <w:rFonts w:ascii="David" w:eastAsia="Calibri" w:hAnsi="David" w:cs="David"/>
          <w:sz w:val="24"/>
          <w:szCs w:val="24"/>
          <w:rtl/>
        </w:rPr>
        <w:t>מ.</w:t>
      </w:r>
      <w:r w:rsidRPr="00944FC1">
        <w:rPr>
          <w:rFonts w:ascii="David" w:eastAsia="Calibri" w:hAnsi="David" w:cs="David"/>
          <w:sz w:val="24"/>
          <w:szCs w:val="24"/>
          <w:rtl/>
        </w:rPr>
        <w:t xml:space="preserve"> יש לבחון. בכדי למנוע הארכת ההליכים המשפטיים שבין הצדדים מצאתי לקבל את עמדת התובעים </w:t>
      </w:r>
      <w:r w:rsidRPr="00944FC1">
        <w:rPr>
          <w:rFonts w:ascii="David" w:eastAsia="Calibri" w:hAnsi="David" w:cs="David" w:hint="cs"/>
          <w:sz w:val="24"/>
          <w:szCs w:val="24"/>
          <w:rtl/>
        </w:rPr>
        <w:t>ש</w:t>
      </w:r>
      <w:r w:rsidRPr="00944FC1">
        <w:rPr>
          <w:rFonts w:ascii="David" w:eastAsia="Calibri" w:hAnsi="David" w:cs="David"/>
          <w:sz w:val="24"/>
          <w:szCs w:val="24"/>
          <w:rtl/>
        </w:rPr>
        <w:t xml:space="preserve">שאלות אלו יבדקו באמצעות רואה חשבון שימונה על ידי בית המשפט.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spacing w:after="0" w:line="360" w:lineRule="auto"/>
        <w:ind w:left="-113" w:right="-113"/>
        <w:mirrorIndents/>
        <w:jc w:val="both"/>
        <w:rPr>
          <w:rFonts w:ascii="David" w:eastAsia="Calibri" w:hAnsi="David" w:cs="David"/>
          <w:sz w:val="24"/>
          <w:szCs w:val="24"/>
          <w:rtl/>
        </w:rPr>
      </w:pPr>
      <w:r w:rsidRPr="00944FC1">
        <w:rPr>
          <w:rFonts w:ascii="David" w:eastAsia="Calibri" w:hAnsi="David" w:cs="David"/>
          <w:b/>
          <w:bCs/>
          <w:sz w:val="24"/>
          <w:szCs w:val="24"/>
          <w:u w:val="single"/>
          <w:rtl/>
        </w:rPr>
        <w:t>הנכס ברחוב לוחמי הגטאות</w:t>
      </w:r>
    </w:p>
    <w:p w:rsidR="00944FC1" w:rsidRPr="00944FC1" w:rsidRDefault="00944FC1" w:rsidP="00944FC1">
      <w:pPr>
        <w:spacing w:after="0" w:line="360" w:lineRule="auto"/>
        <w:ind w:left="-113" w:right="-113"/>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הנכס בלוחמי הגטאות נרשם מחציתו ע"ש </w:t>
      </w:r>
      <w:r>
        <w:rPr>
          <w:rFonts w:ascii="David" w:eastAsia="Calibri" w:hAnsi="David" w:cs="David"/>
          <w:sz w:val="24"/>
          <w:szCs w:val="24"/>
          <w:rtl/>
        </w:rPr>
        <w:t>ח.</w:t>
      </w:r>
      <w:r w:rsidRPr="00944FC1">
        <w:rPr>
          <w:rFonts w:ascii="David" w:eastAsia="Calibri" w:hAnsi="David" w:cs="David"/>
          <w:sz w:val="24"/>
          <w:szCs w:val="24"/>
          <w:rtl/>
        </w:rPr>
        <w:t xml:space="preserve"> ומחציתו ע"ש </w:t>
      </w:r>
      <w:r>
        <w:rPr>
          <w:rFonts w:ascii="David" w:eastAsia="Calibri" w:hAnsi="David" w:cs="David"/>
          <w:sz w:val="24"/>
          <w:szCs w:val="24"/>
          <w:rtl/>
        </w:rPr>
        <w:t>מ.</w:t>
      </w:r>
      <w:r w:rsidRPr="00944FC1">
        <w:rPr>
          <w:rFonts w:ascii="David" w:eastAsia="Calibri" w:hAnsi="David" w:cs="David"/>
          <w:sz w:val="24"/>
          <w:szCs w:val="24"/>
          <w:rtl/>
        </w:rPr>
        <w:t xml:space="preserve">. בנכס נבנה בית המגורים המקורי (הבית הישן) ובסמוך לו בנו האחים המנוחים בית דו משפחתי. במשך שנים רבות חיו המשפחות זו לצד זו, כל אחת ביחידה שלה. </w:t>
      </w:r>
      <w:r>
        <w:rPr>
          <w:rFonts w:ascii="David" w:eastAsia="Calibri" w:hAnsi="David" w:cs="David"/>
          <w:sz w:val="24"/>
          <w:szCs w:val="24"/>
          <w:rtl/>
        </w:rPr>
        <w:t>א.</w:t>
      </w:r>
      <w:r w:rsidRPr="00944FC1">
        <w:rPr>
          <w:rFonts w:ascii="David" w:eastAsia="Calibri" w:hAnsi="David" w:cs="David"/>
          <w:sz w:val="24"/>
          <w:szCs w:val="24"/>
          <w:rtl/>
        </w:rPr>
        <w:t xml:space="preserve"> טוענת שהנכס נרכש במלואו על ידי </w:t>
      </w:r>
      <w:r>
        <w:rPr>
          <w:rFonts w:ascii="David" w:eastAsia="Calibri" w:hAnsi="David" w:cs="David"/>
          <w:sz w:val="24"/>
          <w:szCs w:val="24"/>
          <w:rtl/>
        </w:rPr>
        <w:t>ח.</w:t>
      </w:r>
      <w:r w:rsidRPr="00944FC1">
        <w:rPr>
          <w:rFonts w:ascii="David" w:eastAsia="Calibri" w:hAnsi="David" w:cs="David"/>
          <w:sz w:val="24"/>
          <w:szCs w:val="24"/>
          <w:rtl/>
        </w:rPr>
        <w:t xml:space="preserve"> בשנת 1974. </w:t>
      </w:r>
      <w:r>
        <w:rPr>
          <w:rFonts w:ascii="David" w:eastAsia="Calibri" w:hAnsi="David" w:cs="David"/>
          <w:sz w:val="24"/>
          <w:szCs w:val="24"/>
          <w:rtl/>
        </w:rPr>
        <w:t>מ.</w:t>
      </w:r>
      <w:r w:rsidRPr="00944FC1">
        <w:rPr>
          <w:rFonts w:ascii="David" w:eastAsia="Calibri" w:hAnsi="David" w:cs="David"/>
          <w:sz w:val="24"/>
          <w:szCs w:val="24"/>
          <w:rtl/>
        </w:rPr>
        <w:t xml:space="preserve"> מימן את בניית היחידה שלו בבית הדו משפחתי ועל כן היו לו זכויות רק בבית בו התגורר, אך לא היו לו זכויות בקרקע, או בבית הישן. </w:t>
      </w:r>
      <w:r>
        <w:rPr>
          <w:rFonts w:ascii="David" w:eastAsia="Calibri" w:hAnsi="David" w:cs="David"/>
          <w:sz w:val="24"/>
          <w:szCs w:val="24"/>
          <w:rtl/>
        </w:rPr>
        <w:t>א.</w:t>
      </w:r>
      <w:r w:rsidRPr="00944FC1">
        <w:rPr>
          <w:rFonts w:ascii="David" w:eastAsia="Calibri" w:hAnsi="David" w:cs="David"/>
          <w:sz w:val="24"/>
          <w:szCs w:val="24"/>
          <w:rtl/>
        </w:rPr>
        <w:t xml:space="preserve"> טוענת כי רישום הזכויות במקרקעין בחלקים שווים "נעשה באופן פורמאלי בלבד, כחלק מהסכמים משפחתיים פנימיים והיה ברור לכל שהזכויות במגרש שייכות ל</w:t>
      </w:r>
      <w:r>
        <w:rPr>
          <w:rFonts w:ascii="David" w:eastAsia="Calibri" w:hAnsi="David" w:cs="David"/>
          <w:sz w:val="24"/>
          <w:szCs w:val="24"/>
          <w:rtl/>
        </w:rPr>
        <w:t>ח.</w:t>
      </w:r>
      <w:r w:rsidRPr="00944FC1">
        <w:rPr>
          <w:rFonts w:ascii="David" w:eastAsia="Calibri" w:hAnsi="David" w:cs="David"/>
          <w:sz w:val="24"/>
          <w:szCs w:val="24"/>
          <w:rtl/>
        </w:rPr>
        <w:t xml:space="preserve"> בלבד". </w:t>
      </w:r>
    </w:p>
    <w:p w:rsidR="00944FC1" w:rsidRPr="00944FC1" w:rsidRDefault="00944FC1" w:rsidP="00944FC1">
      <w:pPr>
        <w:spacing w:after="0" w:line="360" w:lineRule="auto"/>
        <w:ind w:left="501"/>
        <w:contextualSpacing/>
        <w:mirrorIndents/>
        <w:jc w:val="both"/>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Pr>
          <w:rFonts w:ascii="David" w:eastAsia="Calibri" w:hAnsi="David" w:cs="David"/>
          <w:sz w:val="24"/>
          <w:szCs w:val="24"/>
          <w:rtl/>
        </w:rPr>
        <w:t>א.</w:t>
      </w:r>
      <w:r w:rsidRPr="00944FC1">
        <w:rPr>
          <w:rFonts w:ascii="David" w:eastAsia="Calibri" w:hAnsi="David" w:cs="David"/>
          <w:sz w:val="24"/>
          <w:szCs w:val="24"/>
          <w:rtl/>
        </w:rPr>
        <w:t xml:space="preserve"> מפנה לכתב ההגנה של </w:t>
      </w:r>
      <w:r>
        <w:rPr>
          <w:rFonts w:ascii="David" w:eastAsia="Calibri" w:hAnsi="David" w:cs="David"/>
          <w:sz w:val="24"/>
          <w:szCs w:val="24"/>
          <w:rtl/>
        </w:rPr>
        <w:t>מ.</w:t>
      </w:r>
      <w:r w:rsidRPr="00944FC1">
        <w:rPr>
          <w:rFonts w:ascii="David" w:eastAsia="Calibri" w:hAnsi="David" w:cs="David"/>
          <w:sz w:val="24"/>
          <w:szCs w:val="24"/>
          <w:rtl/>
        </w:rPr>
        <w:t xml:space="preserve"> בתביעה הרכושית שם אישר כי הוא לא השתתף במימון רכישת הנכס ושהזכויות נרשמו גם על שמו בהתאם להנחיית אביו המנוח, סבא </w:t>
      </w:r>
      <w:r w:rsidR="00402910">
        <w:rPr>
          <w:rFonts w:ascii="David" w:eastAsia="Calibri" w:hAnsi="David" w:cs="David"/>
          <w:sz w:val="24"/>
          <w:szCs w:val="24"/>
          <w:rtl/>
        </w:rPr>
        <w:t>נ'</w:t>
      </w:r>
      <w:r w:rsidRPr="00944FC1">
        <w:rPr>
          <w:rFonts w:ascii="David" w:eastAsia="Calibri" w:hAnsi="David" w:cs="David"/>
          <w:sz w:val="24"/>
          <w:szCs w:val="24"/>
          <w:rtl/>
        </w:rPr>
        <w:t xml:space="preserve">, ובמטרה להימנע מתשלום דמי הסכמה למנהל אם יבנה שם בית נוסף. עוד טען בהליך שם כי הוא שילם עבור חלקו </w:t>
      </w:r>
      <w:r w:rsidRPr="00944FC1">
        <w:rPr>
          <w:rFonts w:ascii="David" w:eastAsia="Calibri" w:hAnsi="David" w:cs="David"/>
          <w:sz w:val="24"/>
          <w:szCs w:val="24"/>
          <w:rtl/>
        </w:rPr>
        <w:lastRenderedPageBreak/>
        <w:t xml:space="preserve">בבניית הבית ושיש לו זכויות ביחידה ללא רכיב הקרקע (סעיפים 27-24 לכתב ההגנה בתביעה הרכושית).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Pr>
          <w:rFonts w:ascii="David" w:eastAsia="Calibri" w:hAnsi="David" w:cs="David"/>
          <w:sz w:val="24"/>
          <w:szCs w:val="24"/>
          <w:rtl/>
        </w:rPr>
        <w:t>א.</w:t>
      </w:r>
      <w:r w:rsidRPr="00944FC1">
        <w:rPr>
          <w:rFonts w:ascii="David" w:eastAsia="Calibri" w:hAnsi="David" w:cs="David"/>
          <w:sz w:val="24"/>
          <w:szCs w:val="24"/>
          <w:rtl/>
        </w:rPr>
        <w:t xml:space="preserve"> מוסיפה וטוענת שהיחידה בבית הדו משפחתי (ללא רכיב הקרקע) שהייתה שייכת ל</w:t>
      </w:r>
      <w:r>
        <w:rPr>
          <w:rFonts w:ascii="David" w:eastAsia="Calibri" w:hAnsi="David" w:cs="David"/>
          <w:sz w:val="24"/>
          <w:szCs w:val="24"/>
          <w:rtl/>
        </w:rPr>
        <w:t>מ.</w:t>
      </w:r>
      <w:r w:rsidRPr="00944FC1">
        <w:rPr>
          <w:rFonts w:ascii="David" w:eastAsia="Calibri" w:hAnsi="David" w:cs="David"/>
          <w:sz w:val="24"/>
          <w:szCs w:val="24"/>
          <w:rtl/>
        </w:rPr>
        <w:t xml:space="preserve"> עברה לבעלותו של </w:t>
      </w:r>
      <w:r>
        <w:rPr>
          <w:rFonts w:ascii="David" w:eastAsia="Calibri" w:hAnsi="David" w:cs="David"/>
          <w:sz w:val="24"/>
          <w:szCs w:val="24"/>
          <w:rtl/>
        </w:rPr>
        <w:t>ח.</w:t>
      </w:r>
      <w:r w:rsidRPr="00944FC1">
        <w:rPr>
          <w:rFonts w:ascii="David" w:eastAsia="Calibri" w:hAnsi="David" w:cs="David"/>
          <w:sz w:val="24"/>
          <w:szCs w:val="24"/>
          <w:rtl/>
        </w:rPr>
        <w:t xml:space="preserve"> בשנת 2004. לדבריה, במסגרת הסכם הגירושין </w:t>
      </w:r>
      <w:r>
        <w:rPr>
          <w:rFonts w:ascii="David" w:eastAsia="Calibri" w:hAnsi="David" w:cs="David"/>
          <w:sz w:val="24"/>
          <w:szCs w:val="24"/>
          <w:rtl/>
        </w:rPr>
        <w:t>מ.</w:t>
      </w:r>
      <w:r w:rsidRPr="00944FC1">
        <w:rPr>
          <w:rFonts w:ascii="David" w:eastAsia="Calibri" w:hAnsi="David" w:cs="David"/>
          <w:sz w:val="24"/>
          <w:szCs w:val="24"/>
          <w:rtl/>
        </w:rPr>
        <w:t xml:space="preserve"> התחייב לשלם ל</w:t>
      </w:r>
      <w:r>
        <w:rPr>
          <w:rFonts w:ascii="David" w:eastAsia="Calibri" w:hAnsi="David" w:cs="David"/>
          <w:sz w:val="24"/>
          <w:szCs w:val="24"/>
          <w:rtl/>
        </w:rPr>
        <w:t>ע.</w:t>
      </w:r>
      <w:r w:rsidRPr="00944FC1">
        <w:rPr>
          <w:rFonts w:ascii="David" w:eastAsia="Calibri" w:hAnsi="David" w:cs="David"/>
          <w:sz w:val="24"/>
          <w:szCs w:val="24"/>
          <w:rtl/>
        </w:rPr>
        <w:t xml:space="preserve"> סכום של 200,000 $ אך לא היו לו מקורות כספיים לשלם את הסכום. ביום 16.12.2004 שילם </w:t>
      </w:r>
      <w:r>
        <w:rPr>
          <w:rFonts w:ascii="David" w:eastAsia="Calibri" w:hAnsi="David" w:cs="David"/>
          <w:sz w:val="24"/>
          <w:szCs w:val="24"/>
          <w:rtl/>
        </w:rPr>
        <w:t>ח.</w:t>
      </w:r>
      <w:r w:rsidRPr="00944FC1">
        <w:rPr>
          <w:rFonts w:ascii="David" w:eastAsia="Calibri" w:hAnsi="David" w:cs="David"/>
          <w:sz w:val="24"/>
          <w:szCs w:val="24"/>
          <w:rtl/>
        </w:rPr>
        <w:t xml:space="preserve"> ל</w:t>
      </w:r>
      <w:r>
        <w:rPr>
          <w:rFonts w:ascii="David" w:eastAsia="Calibri" w:hAnsi="David" w:cs="David"/>
          <w:sz w:val="24"/>
          <w:szCs w:val="24"/>
          <w:rtl/>
        </w:rPr>
        <w:t>מ.</w:t>
      </w:r>
      <w:r w:rsidRPr="00944FC1">
        <w:rPr>
          <w:rFonts w:ascii="David" w:eastAsia="Calibri" w:hAnsi="David" w:cs="David"/>
          <w:sz w:val="24"/>
          <w:szCs w:val="24"/>
          <w:rtl/>
        </w:rPr>
        <w:t xml:space="preserve"> את הסכום בשיק לפקודתו והתשלום נעשה כנגד חלקו של </w:t>
      </w:r>
      <w:r>
        <w:rPr>
          <w:rFonts w:ascii="David" w:eastAsia="Calibri" w:hAnsi="David" w:cs="David"/>
          <w:sz w:val="24"/>
          <w:szCs w:val="24"/>
          <w:rtl/>
        </w:rPr>
        <w:t>מ.</w:t>
      </w:r>
      <w:r w:rsidRPr="00944FC1">
        <w:rPr>
          <w:rFonts w:ascii="David" w:eastAsia="Calibri" w:hAnsi="David" w:cs="David"/>
          <w:sz w:val="24"/>
          <w:szCs w:val="24"/>
          <w:rtl/>
        </w:rPr>
        <w:t xml:space="preserve"> בבית הדו משפחתי. </w:t>
      </w:r>
    </w:p>
    <w:p w:rsidR="00944FC1" w:rsidRPr="00944FC1" w:rsidRDefault="00944FC1" w:rsidP="00944FC1">
      <w:pPr>
        <w:spacing w:after="0" w:line="360" w:lineRule="auto"/>
        <w:contextualSpacing/>
        <w:mirrorIndents/>
        <w:jc w:val="both"/>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טוענים כי זכויות החכירה בנכס נרשמו בחלקים שווים על שם האחים המנוחים; שהרישום ברמ"י מהווה ראיה חותכת לתוכנו; שהתנהלות הצדדים לאורך השנים מלמדת שגם </w:t>
      </w:r>
      <w:r>
        <w:rPr>
          <w:rFonts w:ascii="David" w:eastAsia="Calibri" w:hAnsi="David" w:cs="David"/>
          <w:sz w:val="24"/>
          <w:szCs w:val="24"/>
          <w:rtl/>
        </w:rPr>
        <w:t>ח.</w:t>
      </w:r>
      <w:r w:rsidRPr="00944FC1">
        <w:rPr>
          <w:rFonts w:ascii="David" w:eastAsia="Calibri" w:hAnsi="David" w:cs="David"/>
          <w:sz w:val="24"/>
          <w:szCs w:val="24"/>
          <w:rtl/>
        </w:rPr>
        <w:t xml:space="preserve"> לא סבר אחרת.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בנוסף, התובעים טוענים כי לאורך השנים התגוררו בני משפחה שונים בנכס בלוחמי הגטאות, ובכללם התובע 1 ורעייתו, וזאת ללא תשלום דמי שכירות. עובדה זו מחזקת את טענתם בדבר בעלותו של </w:t>
      </w:r>
      <w:r>
        <w:rPr>
          <w:rFonts w:ascii="David" w:eastAsia="Calibri" w:hAnsi="David" w:cs="David"/>
          <w:sz w:val="24"/>
          <w:szCs w:val="24"/>
          <w:rtl/>
        </w:rPr>
        <w:t>מ.</w:t>
      </w:r>
      <w:r w:rsidRPr="00944FC1">
        <w:rPr>
          <w:rFonts w:ascii="David" w:eastAsia="Calibri" w:hAnsi="David" w:cs="David"/>
          <w:sz w:val="24"/>
          <w:szCs w:val="24"/>
          <w:rtl/>
        </w:rPr>
        <w:t xml:space="preserve"> במחצית הנכס. הם מדגישים כי אילו היה </w:t>
      </w:r>
      <w:r>
        <w:rPr>
          <w:rFonts w:ascii="David" w:eastAsia="Calibri" w:hAnsi="David" w:cs="David"/>
          <w:sz w:val="24"/>
          <w:szCs w:val="24"/>
          <w:rtl/>
        </w:rPr>
        <w:t>ח.</w:t>
      </w:r>
      <w:r w:rsidRPr="00944FC1">
        <w:rPr>
          <w:rFonts w:ascii="David" w:eastAsia="Calibri" w:hAnsi="David" w:cs="David"/>
          <w:sz w:val="24"/>
          <w:szCs w:val="24"/>
          <w:rtl/>
        </w:rPr>
        <w:t xml:space="preserve"> הבעלים הבלעדי של הנכס, לא היה מאפשר לבני משפחתו של </w:t>
      </w:r>
      <w:r>
        <w:rPr>
          <w:rFonts w:ascii="David" w:eastAsia="Calibri" w:hAnsi="David" w:cs="David"/>
          <w:sz w:val="24"/>
          <w:szCs w:val="24"/>
          <w:rtl/>
        </w:rPr>
        <w:t>מ.</w:t>
      </w:r>
      <w:r w:rsidRPr="00944FC1">
        <w:rPr>
          <w:rFonts w:ascii="David" w:eastAsia="Calibri" w:hAnsi="David" w:cs="David"/>
          <w:sz w:val="24"/>
          <w:szCs w:val="24"/>
          <w:rtl/>
        </w:rPr>
        <w:t xml:space="preserve"> להתגורר בו ללא תמורה.</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מכחישים את טענת הנתבעות כי בשלב מסוים ויתר </w:t>
      </w:r>
      <w:r>
        <w:rPr>
          <w:rFonts w:ascii="David" w:eastAsia="Calibri" w:hAnsi="David" w:cs="David"/>
          <w:sz w:val="24"/>
          <w:szCs w:val="24"/>
          <w:rtl/>
        </w:rPr>
        <w:t>מ.</w:t>
      </w:r>
      <w:r w:rsidRPr="00944FC1">
        <w:rPr>
          <w:rFonts w:ascii="David" w:eastAsia="Calibri" w:hAnsi="David" w:cs="David"/>
          <w:sz w:val="24"/>
          <w:szCs w:val="24"/>
          <w:rtl/>
        </w:rPr>
        <w:t xml:space="preserve"> על זכויותיו בנכס תמורת סכום של 200,000 $ ששולם לו על ידי </w:t>
      </w:r>
      <w:r>
        <w:rPr>
          <w:rFonts w:ascii="David" w:eastAsia="Calibri" w:hAnsi="David" w:cs="David"/>
          <w:sz w:val="24"/>
          <w:szCs w:val="24"/>
          <w:rtl/>
        </w:rPr>
        <w:t>ח.</w:t>
      </w:r>
      <w:r w:rsidRPr="00944FC1">
        <w:rPr>
          <w:rFonts w:ascii="David" w:eastAsia="Calibri" w:hAnsi="David" w:cs="David"/>
          <w:sz w:val="24"/>
          <w:szCs w:val="24"/>
          <w:rtl/>
        </w:rPr>
        <w:t xml:space="preserve">. לטענתם, </w:t>
      </w:r>
      <w:r>
        <w:rPr>
          <w:rFonts w:ascii="David" w:eastAsia="Calibri" w:hAnsi="David" w:cs="David"/>
          <w:sz w:val="24"/>
          <w:szCs w:val="24"/>
          <w:rtl/>
        </w:rPr>
        <w:t>מ.</w:t>
      </w:r>
      <w:r w:rsidRPr="00944FC1">
        <w:rPr>
          <w:rFonts w:ascii="David" w:eastAsia="Calibri" w:hAnsi="David" w:cs="David"/>
          <w:sz w:val="24"/>
          <w:szCs w:val="24"/>
          <w:rtl/>
        </w:rPr>
        <w:t xml:space="preserve"> לא ויתר על זכויותיו בנכס בעקבות תשלום הכספים להסדר הגירושין, והסכום האמור שולם ל</w:t>
      </w:r>
      <w:r>
        <w:rPr>
          <w:rFonts w:ascii="David" w:eastAsia="Calibri" w:hAnsi="David" w:cs="David"/>
          <w:sz w:val="24"/>
          <w:szCs w:val="24"/>
          <w:rtl/>
        </w:rPr>
        <w:t>מ.</w:t>
      </w:r>
      <w:r w:rsidRPr="00944FC1">
        <w:rPr>
          <w:rFonts w:ascii="David" w:eastAsia="Calibri" w:hAnsi="David" w:cs="David"/>
          <w:sz w:val="24"/>
          <w:szCs w:val="24"/>
          <w:rtl/>
        </w:rPr>
        <w:t xml:space="preserve"> כחלק מהסדרים כספיים אחרים שבין האחים, שנבעו מהתחשבנות שוטפת ביניהם.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מוסיפים וטוענים שגם אם היה ניסיון מצד </w:t>
      </w:r>
      <w:r>
        <w:rPr>
          <w:rFonts w:ascii="David" w:eastAsia="Calibri" w:hAnsi="David" w:cs="David"/>
          <w:sz w:val="24"/>
          <w:szCs w:val="24"/>
          <w:rtl/>
        </w:rPr>
        <w:t>ח.</w:t>
      </w:r>
      <w:r w:rsidRPr="00944FC1">
        <w:rPr>
          <w:rFonts w:ascii="David" w:eastAsia="Calibri" w:hAnsi="David" w:cs="David"/>
          <w:sz w:val="24"/>
          <w:szCs w:val="24"/>
          <w:rtl/>
        </w:rPr>
        <w:t xml:space="preserve"> לרכוש את זכויותיו של </w:t>
      </w:r>
      <w:r>
        <w:rPr>
          <w:rFonts w:ascii="David" w:eastAsia="Calibri" w:hAnsi="David" w:cs="David"/>
          <w:sz w:val="24"/>
          <w:szCs w:val="24"/>
          <w:rtl/>
        </w:rPr>
        <w:t>מ.</w:t>
      </w:r>
      <w:r w:rsidRPr="00944FC1">
        <w:rPr>
          <w:rFonts w:ascii="David" w:eastAsia="Calibri" w:hAnsi="David" w:cs="David"/>
          <w:sz w:val="24"/>
          <w:szCs w:val="24"/>
          <w:rtl/>
        </w:rPr>
        <w:t xml:space="preserve"> בנכס לוחמי הגטאות, הרי שניסיון זה לא הבשיל לכדי עסקה מחייבת. הם מדגישים כי על פי סעיף 8 לחוק המקרקעין עסקה במקרקעין טעונה מסמך בכתב, ובהעדרו, לא ניתן לראות בתשלום הסכום האמור משום רכישת זכויותיו של </w:t>
      </w:r>
      <w:r>
        <w:rPr>
          <w:rFonts w:ascii="David" w:eastAsia="Calibri" w:hAnsi="David" w:cs="David"/>
          <w:sz w:val="24"/>
          <w:szCs w:val="24"/>
          <w:rtl/>
        </w:rPr>
        <w:t>מ.</w:t>
      </w:r>
      <w:r w:rsidRPr="00944FC1">
        <w:rPr>
          <w:rFonts w:ascii="David" w:eastAsia="Calibri" w:hAnsi="David" w:cs="David"/>
          <w:sz w:val="24"/>
          <w:szCs w:val="24"/>
          <w:rtl/>
        </w:rPr>
        <w:t xml:space="preserve"> בנכס.</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לאחר בחינת טענות הצדדים והראיות שהציגו, הגעתי למסקנה כי דין תביעתה של </w:t>
      </w:r>
      <w:r>
        <w:rPr>
          <w:rFonts w:ascii="David" w:eastAsia="Calibri" w:hAnsi="David" w:cs="David"/>
          <w:sz w:val="24"/>
          <w:szCs w:val="24"/>
          <w:rtl/>
        </w:rPr>
        <w:t>א.</w:t>
      </w:r>
      <w:r w:rsidRPr="00944FC1">
        <w:rPr>
          <w:rFonts w:ascii="David" w:eastAsia="Calibri" w:hAnsi="David" w:cs="David"/>
          <w:sz w:val="24"/>
          <w:szCs w:val="24"/>
          <w:rtl/>
        </w:rPr>
        <w:t xml:space="preserve"> להידחות. להלן נימוקיי למסקנה.</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Pr>
          <w:rFonts w:ascii="David" w:eastAsia="Calibri" w:hAnsi="David" w:cs="David"/>
          <w:sz w:val="24"/>
          <w:szCs w:val="24"/>
          <w:rtl/>
        </w:rPr>
        <w:t>א.</w:t>
      </w:r>
      <w:r w:rsidRPr="00944FC1">
        <w:rPr>
          <w:rFonts w:ascii="David" w:eastAsia="Calibri" w:hAnsi="David" w:cs="David"/>
          <w:sz w:val="24"/>
          <w:szCs w:val="24"/>
          <w:rtl/>
        </w:rPr>
        <w:t xml:space="preserve"> טוענת כי היא זכאית להירשם כבעלת מלוא הזכויות במגרש ברחוב לוחמי הגטאות. </w:t>
      </w:r>
      <w:r w:rsidRPr="00944FC1">
        <w:rPr>
          <w:rFonts w:ascii="David" w:eastAsia="Calibri" w:hAnsi="David" w:cs="David" w:hint="cs"/>
          <w:sz w:val="24"/>
          <w:szCs w:val="24"/>
          <w:rtl/>
        </w:rPr>
        <w:t xml:space="preserve">לדבריה, </w:t>
      </w:r>
      <w:r w:rsidRPr="00944FC1">
        <w:rPr>
          <w:rFonts w:ascii="David" w:eastAsia="Calibri" w:hAnsi="David" w:cs="David"/>
          <w:sz w:val="24"/>
          <w:szCs w:val="24"/>
          <w:rtl/>
        </w:rPr>
        <w:t xml:space="preserve">הנכס נרכש במלואו על ידי </w:t>
      </w:r>
      <w:r>
        <w:rPr>
          <w:rFonts w:ascii="David" w:eastAsia="Calibri" w:hAnsi="David" w:cs="David"/>
          <w:sz w:val="24"/>
          <w:szCs w:val="24"/>
          <w:rtl/>
        </w:rPr>
        <w:t>ח.</w:t>
      </w:r>
      <w:r w:rsidRPr="00944FC1">
        <w:rPr>
          <w:rFonts w:ascii="David" w:eastAsia="Calibri" w:hAnsi="David" w:cs="David"/>
          <w:sz w:val="24"/>
          <w:szCs w:val="24"/>
          <w:rtl/>
        </w:rPr>
        <w:t xml:space="preserve"> באמצעות כספים שלו ושל </w:t>
      </w:r>
      <w:r>
        <w:rPr>
          <w:rFonts w:ascii="David" w:eastAsia="Calibri" w:hAnsi="David" w:cs="David"/>
          <w:sz w:val="24"/>
          <w:szCs w:val="24"/>
          <w:rtl/>
        </w:rPr>
        <w:t>א.</w:t>
      </w:r>
      <w:r w:rsidRPr="00944FC1">
        <w:rPr>
          <w:rFonts w:ascii="David" w:eastAsia="Calibri" w:hAnsi="David" w:cs="David"/>
          <w:sz w:val="24"/>
          <w:szCs w:val="24"/>
          <w:rtl/>
        </w:rPr>
        <w:t xml:space="preserve">, ללא כל תרומה כספית מצד </w:t>
      </w:r>
      <w:r>
        <w:rPr>
          <w:rFonts w:ascii="David" w:eastAsia="Calibri" w:hAnsi="David" w:cs="David"/>
          <w:sz w:val="24"/>
          <w:szCs w:val="24"/>
          <w:rtl/>
        </w:rPr>
        <w:t>מ.</w:t>
      </w:r>
      <w:r w:rsidRPr="00944FC1">
        <w:rPr>
          <w:rFonts w:ascii="David" w:eastAsia="Calibri" w:hAnsi="David" w:cs="David"/>
          <w:sz w:val="24"/>
          <w:szCs w:val="24"/>
          <w:rtl/>
        </w:rPr>
        <w:t>, ו</w:t>
      </w:r>
      <w:r w:rsidRPr="00944FC1">
        <w:rPr>
          <w:rFonts w:ascii="David" w:eastAsia="Calibri" w:hAnsi="David" w:cs="David" w:hint="cs"/>
          <w:sz w:val="24"/>
          <w:szCs w:val="24"/>
          <w:rtl/>
        </w:rPr>
        <w:t xml:space="preserve">על כן </w:t>
      </w:r>
      <w:r w:rsidRPr="00944FC1">
        <w:rPr>
          <w:rFonts w:ascii="David" w:eastAsia="Calibri" w:hAnsi="David" w:cs="David"/>
          <w:sz w:val="24"/>
          <w:szCs w:val="24"/>
          <w:rtl/>
        </w:rPr>
        <w:t xml:space="preserve">הוסכם בין הצדדים שהרישום אינו משקף את הזכויות בפועל. לא מצאתי כי </w:t>
      </w:r>
      <w:r>
        <w:rPr>
          <w:rFonts w:ascii="David" w:eastAsia="Calibri" w:hAnsi="David" w:cs="David"/>
          <w:sz w:val="24"/>
          <w:szCs w:val="24"/>
          <w:rtl/>
        </w:rPr>
        <w:t>א.</w:t>
      </w:r>
      <w:r w:rsidRPr="00944FC1">
        <w:rPr>
          <w:rFonts w:ascii="David" w:eastAsia="Calibri" w:hAnsi="David" w:cs="David"/>
          <w:sz w:val="24"/>
          <w:szCs w:val="24"/>
          <w:rtl/>
        </w:rPr>
        <w:t xml:space="preserve"> הרימה את הנטל הנדרש להוכחת טענות אלו. בצדק עונים לה התובעים כי היא אינה יכולה לשלול את טענתם </w:t>
      </w:r>
      <w:r w:rsidRPr="00944FC1">
        <w:rPr>
          <w:rFonts w:ascii="David" w:eastAsia="Calibri" w:hAnsi="David" w:cs="David"/>
          <w:sz w:val="24"/>
          <w:szCs w:val="24"/>
          <w:rtl/>
        </w:rPr>
        <w:lastRenderedPageBreak/>
        <w:t>ש</w:t>
      </w:r>
      <w:r>
        <w:rPr>
          <w:rFonts w:ascii="David" w:eastAsia="Calibri" w:hAnsi="David" w:cs="David"/>
          <w:sz w:val="24"/>
          <w:szCs w:val="24"/>
          <w:rtl/>
        </w:rPr>
        <w:t>ח.</w:t>
      </w:r>
      <w:r w:rsidRPr="00944FC1">
        <w:rPr>
          <w:rFonts w:ascii="David" w:eastAsia="Calibri" w:hAnsi="David" w:cs="David"/>
          <w:sz w:val="24"/>
          <w:szCs w:val="24"/>
          <w:rtl/>
        </w:rPr>
        <w:t xml:space="preserve"> שימש כנאמן של </w:t>
      </w:r>
      <w:r>
        <w:rPr>
          <w:rFonts w:ascii="David" w:eastAsia="Calibri" w:hAnsi="David" w:cs="David"/>
          <w:sz w:val="24"/>
          <w:szCs w:val="24"/>
          <w:rtl/>
        </w:rPr>
        <w:t>מ.</w:t>
      </w:r>
      <w:r w:rsidRPr="00944FC1">
        <w:rPr>
          <w:rFonts w:ascii="David" w:eastAsia="Calibri" w:hAnsi="David" w:cs="David"/>
          <w:sz w:val="24"/>
          <w:szCs w:val="24"/>
          <w:rtl/>
        </w:rPr>
        <w:t xml:space="preserve"> ובה בעת לטעון ש</w:t>
      </w:r>
      <w:r>
        <w:rPr>
          <w:rFonts w:ascii="David" w:eastAsia="Calibri" w:hAnsi="David" w:cs="David"/>
          <w:sz w:val="24"/>
          <w:szCs w:val="24"/>
          <w:rtl/>
        </w:rPr>
        <w:t>מ.</w:t>
      </w:r>
      <w:r w:rsidRPr="00944FC1">
        <w:rPr>
          <w:rFonts w:ascii="David" w:eastAsia="Calibri" w:hAnsi="David" w:cs="David"/>
          <w:sz w:val="24"/>
          <w:szCs w:val="24"/>
          <w:rtl/>
        </w:rPr>
        <w:t xml:space="preserve"> שימש נאמן של </w:t>
      </w:r>
      <w:r>
        <w:rPr>
          <w:rFonts w:ascii="David" w:eastAsia="Calibri" w:hAnsi="David" w:cs="David"/>
          <w:sz w:val="24"/>
          <w:szCs w:val="24"/>
          <w:rtl/>
        </w:rPr>
        <w:t>ח.</w:t>
      </w:r>
      <w:r w:rsidRPr="00944FC1">
        <w:rPr>
          <w:rFonts w:ascii="David" w:eastAsia="Calibri" w:hAnsi="David" w:cs="David"/>
          <w:sz w:val="24"/>
          <w:szCs w:val="24"/>
          <w:rtl/>
        </w:rPr>
        <w:t xml:space="preserve">, ושטענתה זו היא בבחינת "טול קיסם מבן שיניך–טול קורה מבין עינייך".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402910">
      <w:pPr>
        <w:numPr>
          <w:ilvl w:val="0"/>
          <w:numId w:val="1"/>
        </w:numPr>
        <w:spacing w:after="0" w:line="360" w:lineRule="auto"/>
        <w:ind w:left="215" w:hanging="215"/>
        <w:contextualSpacing/>
        <w:mirrorIndents/>
        <w:jc w:val="both"/>
        <w:rPr>
          <w:rFonts w:ascii="David" w:eastAsia="Calibri" w:hAnsi="David" w:cs="David"/>
          <w:sz w:val="24"/>
          <w:szCs w:val="24"/>
        </w:rPr>
      </w:pPr>
      <w:r>
        <w:rPr>
          <w:rFonts w:ascii="David" w:eastAsia="Calibri" w:hAnsi="David" w:cs="David"/>
          <w:sz w:val="24"/>
          <w:szCs w:val="24"/>
          <w:rtl/>
        </w:rPr>
        <w:t>א.</w:t>
      </w:r>
      <w:r w:rsidRPr="00944FC1">
        <w:rPr>
          <w:rFonts w:ascii="David" w:eastAsia="Calibri" w:hAnsi="David" w:cs="David"/>
          <w:sz w:val="24"/>
          <w:szCs w:val="24"/>
          <w:rtl/>
        </w:rPr>
        <w:t xml:space="preserve"> גם לא הוכיחה שהנכס נרכש רק מכספים של </w:t>
      </w:r>
      <w:r>
        <w:rPr>
          <w:rFonts w:ascii="David" w:eastAsia="Calibri" w:hAnsi="David" w:cs="David"/>
          <w:sz w:val="24"/>
          <w:szCs w:val="24"/>
          <w:rtl/>
        </w:rPr>
        <w:t>ח.</w:t>
      </w:r>
      <w:r w:rsidRPr="00944FC1">
        <w:rPr>
          <w:rFonts w:ascii="David" w:eastAsia="Calibri" w:hAnsi="David" w:cs="David"/>
          <w:sz w:val="24"/>
          <w:szCs w:val="24"/>
          <w:rtl/>
        </w:rPr>
        <w:t xml:space="preserve">. </w:t>
      </w:r>
      <w:r>
        <w:rPr>
          <w:rFonts w:ascii="David" w:eastAsia="Calibri" w:hAnsi="David" w:cs="David"/>
          <w:sz w:val="24"/>
          <w:szCs w:val="24"/>
          <w:rtl/>
        </w:rPr>
        <w:t>א.</w:t>
      </w:r>
      <w:r w:rsidRPr="00944FC1">
        <w:rPr>
          <w:rFonts w:ascii="David" w:eastAsia="Calibri" w:hAnsi="David" w:cs="David"/>
          <w:sz w:val="24"/>
          <w:szCs w:val="24"/>
          <w:rtl/>
        </w:rPr>
        <w:t xml:space="preserve"> אישרה בחקירתה כי </w:t>
      </w:r>
      <w:r>
        <w:rPr>
          <w:rFonts w:ascii="David" w:eastAsia="Calibri" w:hAnsi="David" w:cs="David"/>
          <w:sz w:val="24"/>
          <w:szCs w:val="24"/>
          <w:rtl/>
        </w:rPr>
        <w:t>ח.</w:t>
      </w:r>
      <w:r w:rsidRPr="00944FC1">
        <w:rPr>
          <w:rFonts w:ascii="David" w:eastAsia="Calibri" w:hAnsi="David" w:cs="David"/>
          <w:sz w:val="24"/>
          <w:szCs w:val="24"/>
          <w:rtl/>
        </w:rPr>
        <w:t xml:space="preserve"> טען בתביעה הרכושית שחלק מהכספים לרכישת המגרש ניתנו על ידי סבא נ</w:t>
      </w:r>
      <w:r w:rsidR="00402910">
        <w:rPr>
          <w:rFonts w:ascii="David" w:eastAsia="Calibri" w:hAnsi="David" w:cs="David" w:hint="cs"/>
          <w:sz w:val="24"/>
          <w:szCs w:val="24"/>
          <w:rtl/>
        </w:rPr>
        <w:t>'</w:t>
      </w:r>
      <w:r w:rsidRPr="00944FC1">
        <w:rPr>
          <w:rFonts w:ascii="David" w:eastAsia="Calibri" w:hAnsi="David" w:cs="David"/>
          <w:sz w:val="24"/>
          <w:szCs w:val="24"/>
          <w:rtl/>
        </w:rPr>
        <w:t xml:space="preserve"> והוא דרש לרשום את מחצית המגרש ע"ש </w:t>
      </w:r>
      <w:r>
        <w:rPr>
          <w:rFonts w:ascii="David" w:eastAsia="Calibri" w:hAnsi="David" w:cs="David"/>
          <w:sz w:val="24"/>
          <w:szCs w:val="24"/>
          <w:rtl/>
        </w:rPr>
        <w:t>מ.</w:t>
      </w:r>
      <w:r w:rsidRPr="00944FC1">
        <w:rPr>
          <w:rFonts w:ascii="David" w:eastAsia="Calibri" w:hAnsi="David" w:cs="David"/>
          <w:sz w:val="24"/>
          <w:szCs w:val="24"/>
          <w:rtl/>
        </w:rPr>
        <w:t xml:space="preserve">. דהיינו רישום מחצית הזכויות על שם </w:t>
      </w:r>
      <w:r>
        <w:rPr>
          <w:rFonts w:ascii="David" w:eastAsia="Calibri" w:hAnsi="David" w:cs="David"/>
          <w:sz w:val="24"/>
          <w:szCs w:val="24"/>
          <w:rtl/>
        </w:rPr>
        <w:t>מ.</w:t>
      </w:r>
      <w:r w:rsidRPr="00944FC1">
        <w:rPr>
          <w:rFonts w:ascii="David" w:eastAsia="Calibri" w:hAnsi="David" w:cs="David"/>
          <w:sz w:val="24"/>
          <w:szCs w:val="24"/>
          <w:rtl/>
        </w:rPr>
        <w:t xml:space="preserve"> היה על פי דרישתו של נותן המתנה סבא </w:t>
      </w:r>
      <w:r w:rsidR="00402910">
        <w:rPr>
          <w:rFonts w:ascii="David" w:eastAsia="Calibri" w:hAnsi="David" w:cs="David"/>
          <w:sz w:val="24"/>
          <w:szCs w:val="24"/>
          <w:rtl/>
        </w:rPr>
        <w:t>נ'</w:t>
      </w:r>
      <w:r w:rsidRPr="00944FC1">
        <w:rPr>
          <w:rFonts w:ascii="David" w:eastAsia="Calibri" w:hAnsi="David" w:cs="David"/>
          <w:sz w:val="24"/>
          <w:szCs w:val="24"/>
          <w:rtl/>
        </w:rPr>
        <w:t xml:space="preserve">. </w:t>
      </w:r>
      <w:r>
        <w:rPr>
          <w:rFonts w:ascii="David" w:eastAsia="Calibri" w:hAnsi="David" w:cs="David"/>
          <w:sz w:val="24"/>
          <w:szCs w:val="24"/>
          <w:rtl/>
        </w:rPr>
        <w:t>א.</w:t>
      </w:r>
      <w:r w:rsidRPr="00944FC1">
        <w:rPr>
          <w:rFonts w:ascii="David" w:eastAsia="Calibri" w:hAnsi="David" w:cs="David"/>
          <w:sz w:val="24"/>
          <w:szCs w:val="24"/>
          <w:rtl/>
        </w:rPr>
        <w:t xml:space="preserve"> טוענת כי הנכס נרשם כך בכדי לחסוך דמי הסכמה למנהל ואולם גם טענה זו לא הוכחה, </w:t>
      </w:r>
      <w:r>
        <w:rPr>
          <w:rFonts w:ascii="David" w:eastAsia="Calibri" w:hAnsi="David" w:cs="David"/>
          <w:sz w:val="24"/>
          <w:szCs w:val="24"/>
          <w:rtl/>
        </w:rPr>
        <w:t>א.</w:t>
      </w:r>
      <w:r w:rsidRPr="00944FC1">
        <w:rPr>
          <w:rFonts w:ascii="David" w:eastAsia="Calibri" w:hAnsi="David" w:cs="David"/>
          <w:sz w:val="24"/>
          <w:szCs w:val="24"/>
          <w:rtl/>
        </w:rPr>
        <w:t xml:space="preserve"> לא סתרה את טענת הנתבעים שממילא היה ניתן פטור מתשלום דמי הסכמה במקרה של העברה ללא תמורה בין האחים. התוצאה היא שהטענה כי הרישום על שם </w:t>
      </w:r>
      <w:r>
        <w:rPr>
          <w:rFonts w:ascii="David" w:eastAsia="Calibri" w:hAnsi="David" w:cs="David"/>
          <w:sz w:val="24"/>
          <w:szCs w:val="24"/>
          <w:rtl/>
        </w:rPr>
        <w:t>מ.</w:t>
      </w:r>
      <w:r w:rsidRPr="00944FC1">
        <w:rPr>
          <w:rFonts w:ascii="David" w:eastAsia="Calibri" w:hAnsi="David" w:cs="David"/>
          <w:sz w:val="24"/>
          <w:szCs w:val="24"/>
          <w:rtl/>
        </w:rPr>
        <w:t xml:space="preserve"> נעשה מטעמים פורמליים בלבד, בהתאם להנחיות אביהם וכדי לחסוך בתשלום דמי הסכמה לרמ"י, לא הוכחה כנדרש. </w:t>
      </w:r>
    </w:p>
    <w:p w:rsidR="00944FC1" w:rsidRPr="00944FC1" w:rsidRDefault="00944FC1" w:rsidP="00944FC1">
      <w:pPr>
        <w:spacing w:after="0" w:line="360" w:lineRule="auto"/>
        <w:ind w:left="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לא בכדי מכר </w:t>
      </w:r>
      <w:r>
        <w:rPr>
          <w:rFonts w:ascii="David" w:eastAsia="Calibri" w:hAnsi="David" w:cs="David"/>
          <w:sz w:val="24"/>
          <w:szCs w:val="24"/>
          <w:rtl/>
        </w:rPr>
        <w:t>מ.</w:t>
      </w:r>
      <w:r w:rsidRPr="00944FC1">
        <w:rPr>
          <w:rFonts w:ascii="David" w:eastAsia="Calibri" w:hAnsi="David" w:cs="David"/>
          <w:sz w:val="24"/>
          <w:szCs w:val="24"/>
          <w:rtl/>
        </w:rPr>
        <w:t xml:space="preserve"> את דירת מגוריו ברחוב מחניים ומימן באמצעות כספים אלו את בניית היחידה בבית הדו משפחתי.  הדעת נותנת שהוא לא היה עושה זאת אלמלא רישום המחצית על שמו והסכמת </w:t>
      </w:r>
      <w:r>
        <w:rPr>
          <w:rFonts w:ascii="David" w:eastAsia="Calibri" w:hAnsi="David" w:cs="David"/>
          <w:sz w:val="24"/>
          <w:szCs w:val="24"/>
          <w:rtl/>
        </w:rPr>
        <w:t>ח.</w:t>
      </w:r>
      <w:r w:rsidRPr="00944FC1">
        <w:rPr>
          <w:rFonts w:ascii="David" w:eastAsia="Calibri" w:hAnsi="David" w:cs="David"/>
          <w:sz w:val="24"/>
          <w:szCs w:val="24"/>
          <w:rtl/>
        </w:rPr>
        <w:t xml:space="preserve"> שכך יעשה. רישום הזכויות על שמו משמעה כי בעלותו היא על הקרקע ועל כל הבנוי והנטוע עליה (סעיף 12 בחוק המקרקעין). לא למותר לציין כי בשיחה המוקלטת של </w:t>
      </w:r>
      <w:r>
        <w:rPr>
          <w:rFonts w:ascii="David" w:eastAsia="Calibri" w:hAnsi="David" w:cs="David"/>
          <w:sz w:val="24"/>
          <w:szCs w:val="24"/>
          <w:rtl/>
        </w:rPr>
        <w:t>ח.</w:t>
      </w:r>
      <w:r w:rsidRPr="00944FC1">
        <w:rPr>
          <w:rFonts w:ascii="David" w:eastAsia="Calibri" w:hAnsi="David" w:cs="David"/>
          <w:sz w:val="24"/>
          <w:szCs w:val="24"/>
          <w:rtl/>
        </w:rPr>
        <w:t xml:space="preserve"> עם </w:t>
      </w:r>
      <w:r>
        <w:rPr>
          <w:rFonts w:ascii="David" w:eastAsia="Calibri" w:hAnsi="David" w:cs="David" w:hint="cs"/>
          <w:sz w:val="24"/>
          <w:szCs w:val="24"/>
          <w:rtl/>
        </w:rPr>
        <w:t xml:space="preserve">בתו </w:t>
      </w:r>
      <w:r w:rsidRPr="00944FC1">
        <w:rPr>
          <w:rFonts w:ascii="David" w:eastAsia="Calibri" w:hAnsi="David" w:cs="David"/>
          <w:sz w:val="24"/>
          <w:szCs w:val="24"/>
          <w:rtl/>
        </w:rPr>
        <w:t>שנערכה</w:t>
      </w:r>
      <w:r w:rsidRPr="00944FC1">
        <w:rPr>
          <w:rFonts w:ascii="David" w:eastAsia="Calibri" w:hAnsi="David" w:cs="David" w:hint="cs"/>
          <w:sz w:val="24"/>
          <w:szCs w:val="24"/>
          <w:rtl/>
        </w:rPr>
        <w:t xml:space="preserve"> בשנת 2019 </w:t>
      </w:r>
      <w:r w:rsidRPr="00944FC1">
        <w:rPr>
          <w:rFonts w:ascii="David" w:eastAsia="Calibri" w:hAnsi="David" w:cs="David"/>
          <w:sz w:val="24"/>
          <w:szCs w:val="24"/>
          <w:rtl/>
        </w:rPr>
        <w:t xml:space="preserve">, מבהיר </w:t>
      </w:r>
      <w:r>
        <w:rPr>
          <w:rFonts w:ascii="David" w:eastAsia="Calibri" w:hAnsi="David" w:cs="David"/>
          <w:sz w:val="24"/>
          <w:szCs w:val="24"/>
          <w:rtl/>
        </w:rPr>
        <w:t>ח.</w:t>
      </w:r>
      <w:r w:rsidRPr="00944FC1">
        <w:rPr>
          <w:rFonts w:ascii="David" w:eastAsia="Calibri" w:hAnsi="David" w:cs="David"/>
          <w:sz w:val="24"/>
          <w:szCs w:val="24"/>
          <w:rtl/>
        </w:rPr>
        <w:t xml:space="preserve"> כי סבא </w:t>
      </w:r>
      <w:r w:rsidR="00402910">
        <w:rPr>
          <w:rFonts w:ascii="David" w:eastAsia="Calibri" w:hAnsi="David" w:cs="David"/>
          <w:sz w:val="24"/>
          <w:szCs w:val="24"/>
          <w:rtl/>
        </w:rPr>
        <w:t>נ'</w:t>
      </w:r>
      <w:r w:rsidRPr="00944FC1">
        <w:rPr>
          <w:rFonts w:ascii="David" w:eastAsia="Calibri" w:hAnsi="David" w:cs="David"/>
          <w:sz w:val="24"/>
          <w:szCs w:val="24"/>
          <w:rtl/>
        </w:rPr>
        <w:t xml:space="preserve"> העביר לו כספים על מנת ש</w:t>
      </w:r>
      <w:r>
        <w:rPr>
          <w:rFonts w:ascii="David" w:eastAsia="Calibri" w:hAnsi="David" w:cs="David"/>
          <w:sz w:val="24"/>
          <w:szCs w:val="24"/>
          <w:rtl/>
        </w:rPr>
        <w:t>מ.</w:t>
      </w:r>
      <w:r w:rsidRPr="00944FC1">
        <w:rPr>
          <w:rFonts w:ascii="David" w:eastAsia="Calibri" w:hAnsi="David" w:cs="David"/>
          <w:sz w:val="24"/>
          <w:szCs w:val="24"/>
          <w:rtl/>
        </w:rPr>
        <w:t xml:space="preserve"> יקבל רבע מהמגרש עם בניית הבית אך הוא (</w:t>
      </w:r>
      <w:r>
        <w:rPr>
          <w:rFonts w:ascii="David" w:eastAsia="Calibri" w:hAnsi="David" w:cs="David"/>
          <w:sz w:val="24"/>
          <w:szCs w:val="24"/>
          <w:rtl/>
        </w:rPr>
        <w:t>ח.</w:t>
      </w:r>
      <w:r w:rsidRPr="00944FC1">
        <w:rPr>
          <w:rFonts w:ascii="David" w:eastAsia="Calibri" w:hAnsi="David" w:cs="David"/>
          <w:sz w:val="24"/>
          <w:szCs w:val="24"/>
          <w:rtl/>
        </w:rPr>
        <w:t xml:space="preserve">) הסכים לתת לו את מחצית הזכויות (נספח 7 לתצהיר </w:t>
      </w:r>
      <w:r>
        <w:rPr>
          <w:rFonts w:ascii="David" w:eastAsia="Calibri" w:hAnsi="David" w:cs="David"/>
          <w:sz w:val="24"/>
          <w:szCs w:val="24"/>
          <w:rtl/>
        </w:rPr>
        <w:t>א.</w:t>
      </w:r>
      <w:r w:rsidRPr="00944FC1">
        <w:rPr>
          <w:rFonts w:ascii="David" w:eastAsia="Calibri" w:hAnsi="David" w:cs="David"/>
          <w:sz w:val="24"/>
          <w:szCs w:val="24"/>
          <w:rtl/>
        </w:rPr>
        <w:t xml:space="preserve"> עמ' 34). הסכמה זו יצאה לפועל והושלמה. </w:t>
      </w:r>
      <w:r>
        <w:rPr>
          <w:rFonts w:ascii="David" w:eastAsia="Calibri" w:hAnsi="David" w:cs="David"/>
          <w:sz w:val="24"/>
          <w:szCs w:val="24"/>
          <w:rtl/>
        </w:rPr>
        <w:t>א.</w:t>
      </w:r>
      <w:r w:rsidRPr="00944FC1">
        <w:rPr>
          <w:rFonts w:ascii="David" w:eastAsia="Calibri" w:hAnsi="David" w:cs="David"/>
          <w:sz w:val="24"/>
          <w:szCs w:val="24"/>
          <w:rtl/>
        </w:rPr>
        <w:t xml:space="preserve"> שירשה את זכויותיו של </w:t>
      </w:r>
      <w:r>
        <w:rPr>
          <w:rFonts w:ascii="David" w:eastAsia="Calibri" w:hAnsi="David" w:cs="David"/>
          <w:sz w:val="24"/>
          <w:szCs w:val="24"/>
          <w:rtl/>
        </w:rPr>
        <w:t>ח.</w:t>
      </w:r>
      <w:r w:rsidRPr="00944FC1">
        <w:rPr>
          <w:rFonts w:ascii="David" w:eastAsia="Calibri" w:hAnsi="David" w:cs="David"/>
          <w:sz w:val="24"/>
          <w:szCs w:val="24"/>
          <w:rtl/>
        </w:rPr>
        <w:t xml:space="preserve"> אינה יכולה לשנות כיום את החלטתו ל</w:t>
      </w:r>
      <w:r w:rsidRPr="00944FC1">
        <w:rPr>
          <w:rFonts w:ascii="David" w:eastAsia="Calibri" w:hAnsi="David" w:cs="David" w:hint="cs"/>
          <w:sz w:val="24"/>
          <w:szCs w:val="24"/>
          <w:rtl/>
        </w:rPr>
        <w:t xml:space="preserve">העביר </w:t>
      </w:r>
      <w:r w:rsidRPr="00944FC1">
        <w:rPr>
          <w:rFonts w:ascii="David" w:eastAsia="Calibri" w:hAnsi="David" w:cs="David"/>
          <w:sz w:val="24"/>
          <w:szCs w:val="24"/>
          <w:rtl/>
        </w:rPr>
        <w:t xml:space="preserve">את מחצית הזכויות על שם </w:t>
      </w:r>
      <w:r>
        <w:rPr>
          <w:rFonts w:ascii="David" w:eastAsia="Calibri" w:hAnsi="David" w:cs="David"/>
          <w:sz w:val="24"/>
          <w:szCs w:val="24"/>
          <w:rtl/>
        </w:rPr>
        <w:t>מ.</w:t>
      </w:r>
      <w:r w:rsidRPr="00944FC1">
        <w:rPr>
          <w:rFonts w:ascii="David" w:eastAsia="Calibri" w:hAnsi="David" w:cs="David"/>
          <w:sz w:val="24"/>
          <w:szCs w:val="24"/>
          <w:rtl/>
        </w:rPr>
        <w:t xml:space="preserve">.  </w:t>
      </w:r>
    </w:p>
    <w:p w:rsidR="00944FC1" w:rsidRPr="00944FC1" w:rsidRDefault="00944FC1" w:rsidP="00944FC1">
      <w:pPr>
        <w:spacing w:after="0" w:line="360" w:lineRule="auto"/>
        <w:ind w:left="215"/>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בשנת 2004 ניסו האחים המנוחים לפצל את המגרש במטרה למכור רבע ממנו וזאת כדי לממן באמצעות הכספים שיתקבלו את התשלום ל</w:t>
      </w:r>
      <w:r>
        <w:rPr>
          <w:rFonts w:ascii="David" w:eastAsia="Calibri" w:hAnsi="David" w:cs="David"/>
          <w:sz w:val="24"/>
          <w:szCs w:val="24"/>
          <w:rtl/>
        </w:rPr>
        <w:t>ע.</w:t>
      </w:r>
      <w:r w:rsidRPr="00944FC1">
        <w:rPr>
          <w:rFonts w:ascii="David" w:eastAsia="Calibri" w:hAnsi="David" w:cs="David"/>
          <w:sz w:val="24"/>
          <w:szCs w:val="24"/>
          <w:rtl/>
        </w:rPr>
        <w:t xml:space="preserve"> שנקבע בהסדר הגירושין. ניסיון הפיצול מתיישב יותר עם גרסת התובעים של</w:t>
      </w:r>
      <w:r>
        <w:rPr>
          <w:rFonts w:ascii="David" w:eastAsia="Calibri" w:hAnsi="David" w:cs="David"/>
          <w:sz w:val="24"/>
          <w:szCs w:val="24"/>
          <w:rtl/>
        </w:rPr>
        <w:t>מ.</w:t>
      </w:r>
      <w:r w:rsidRPr="00944FC1">
        <w:rPr>
          <w:rFonts w:ascii="David" w:eastAsia="Calibri" w:hAnsi="David" w:cs="David"/>
          <w:sz w:val="24"/>
          <w:szCs w:val="24"/>
          <w:rtl/>
        </w:rPr>
        <w:t xml:space="preserve"> זכויות במקרקעין. כפי שהערתי בדיון ההוכחות,  אין הגיון כלכלי בכך ש</w:t>
      </w:r>
      <w:r>
        <w:rPr>
          <w:rFonts w:ascii="David" w:eastAsia="Calibri" w:hAnsi="David" w:cs="David"/>
          <w:sz w:val="24"/>
          <w:szCs w:val="24"/>
          <w:rtl/>
        </w:rPr>
        <w:t>ח.</w:t>
      </w:r>
      <w:r w:rsidRPr="00944FC1">
        <w:rPr>
          <w:rFonts w:ascii="David" w:eastAsia="Calibri" w:hAnsi="David" w:cs="David"/>
          <w:sz w:val="24"/>
          <w:szCs w:val="24"/>
          <w:rtl/>
        </w:rPr>
        <w:t xml:space="preserve"> יישא בעלויות פיצול המגרש אם ל</w:t>
      </w:r>
      <w:r>
        <w:rPr>
          <w:rFonts w:ascii="David" w:eastAsia="Calibri" w:hAnsi="David" w:cs="David"/>
          <w:sz w:val="24"/>
          <w:szCs w:val="24"/>
          <w:rtl/>
        </w:rPr>
        <w:t>מ.</w:t>
      </w:r>
      <w:r w:rsidRPr="00944FC1">
        <w:rPr>
          <w:rFonts w:ascii="David" w:eastAsia="Calibri" w:hAnsi="David" w:cs="David"/>
          <w:sz w:val="24"/>
          <w:szCs w:val="24"/>
          <w:rtl/>
        </w:rPr>
        <w:t xml:space="preserve"> אין בו זכויות. לו באמת זכויותיו של </w:t>
      </w:r>
      <w:r>
        <w:rPr>
          <w:rFonts w:ascii="David" w:eastAsia="Calibri" w:hAnsi="David" w:cs="David"/>
          <w:sz w:val="24"/>
          <w:szCs w:val="24"/>
          <w:rtl/>
        </w:rPr>
        <w:t>מ.</w:t>
      </w:r>
      <w:r w:rsidRPr="00944FC1">
        <w:rPr>
          <w:rFonts w:ascii="David" w:eastAsia="Calibri" w:hAnsi="David" w:cs="David"/>
          <w:sz w:val="24"/>
          <w:szCs w:val="24"/>
          <w:rtl/>
        </w:rPr>
        <w:t xml:space="preserve"> התמצו רק בעלות בניית הבית היה </w:t>
      </w:r>
      <w:r>
        <w:rPr>
          <w:rFonts w:ascii="David" w:eastAsia="Calibri" w:hAnsi="David" w:cs="David"/>
          <w:sz w:val="24"/>
          <w:szCs w:val="24"/>
          <w:rtl/>
        </w:rPr>
        <w:t>ח.</w:t>
      </w:r>
      <w:r w:rsidRPr="00944FC1">
        <w:rPr>
          <w:rFonts w:ascii="David" w:eastAsia="Calibri" w:hAnsi="David" w:cs="David"/>
          <w:sz w:val="24"/>
          <w:szCs w:val="24"/>
          <w:rtl/>
        </w:rPr>
        <w:t xml:space="preserve"> משלם את הסכום ל</w:t>
      </w:r>
      <w:r>
        <w:rPr>
          <w:rFonts w:ascii="David" w:eastAsia="Calibri" w:hAnsi="David" w:cs="David"/>
          <w:sz w:val="24"/>
          <w:szCs w:val="24"/>
          <w:rtl/>
        </w:rPr>
        <w:t>ע.</w:t>
      </w:r>
      <w:r w:rsidRPr="00944FC1">
        <w:rPr>
          <w:rFonts w:ascii="David" w:eastAsia="Calibri" w:hAnsi="David" w:cs="David"/>
          <w:sz w:val="24"/>
          <w:szCs w:val="24"/>
          <w:rtl/>
        </w:rPr>
        <w:t xml:space="preserve"> ומוחל על חובו ל</w:t>
      </w:r>
      <w:r>
        <w:rPr>
          <w:rFonts w:ascii="David" w:eastAsia="Calibri" w:hAnsi="David" w:cs="David"/>
          <w:sz w:val="24"/>
          <w:szCs w:val="24"/>
          <w:rtl/>
        </w:rPr>
        <w:t>מ.</w:t>
      </w:r>
      <w:r w:rsidRPr="00944FC1">
        <w:rPr>
          <w:rFonts w:ascii="David" w:eastAsia="Calibri" w:hAnsi="David" w:cs="David"/>
          <w:sz w:val="24"/>
          <w:szCs w:val="24"/>
          <w:rtl/>
        </w:rPr>
        <w:t xml:space="preserve"> כנגד ויתור של </w:t>
      </w:r>
      <w:r>
        <w:rPr>
          <w:rFonts w:ascii="David" w:eastAsia="Calibri" w:hAnsi="David" w:cs="David"/>
          <w:sz w:val="24"/>
          <w:szCs w:val="24"/>
          <w:rtl/>
        </w:rPr>
        <w:t>מ.</w:t>
      </w:r>
      <w:r w:rsidRPr="00944FC1">
        <w:rPr>
          <w:rFonts w:ascii="David" w:eastAsia="Calibri" w:hAnsi="David" w:cs="David"/>
          <w:sz w:val="24"/>
          <w:szCs w:val="24"/>
          <w:rtl/>
        </w:rPr>
        <w:t xml:space="preserve"> על החזר ההשקעות. הניסיון לפצל את המגרש במטרה למכור רבע ממנו, מלמד שהצדדים ראו ב</w:t>
      </w:r>
      <w:r>
        <w:rPr>
          <w:rFonts w:ascii="David" w:eastAsia="Calibri" w:hAnsi="David" w:cs="David"/>
          <w:sz w:val="24"/>
          <w:szCs w:val="24"/>
          <w:rtl/>
        </w:rPr>
        <w:t>מ.</w:t>
      </w:r>
      <w:r w:rsidRPr="00944FC1">
        <w:rPr>
          <w:rFonts w:ascii="David" w:eastAsia="Calibri" w:hAnsi="David" w:cs="David"/>
          <w:sz w:val="24"/>
          <w:szCs w:val="24"/>
          <w:rtl/>
        </w:rPr>
        <w:t xml:space="preserve"> שותף במחצית הזכויות ושעל כן ניסו למכור רבע מהנכס, דהיינו מחצית מזכויותיו של </w:t>
      </w:r>
      <w:r>
        <w:rPr>
          <w:rFonts w:ascii="David" w:eastAsia="Calibri" w:hAnsi="David" w:cs="David"/>
          <w:sz w:val="24"/>
          <w:szCs w:val="24"/>
          <w:rtl/>
        </w:rPr>
        <w:t>מ.</w:t>
      </w:r>
      <w:r w:rsidRPr="00944FC1">
        <w:rPr>
          <w:rFonts w:ascii="David" w:eastAsia="Calibri" w:hAnsi="David" w:cs="David"/>
          <w:sz w:val="24"/>
          <w:szCs w:val="24"/>
          <w:rtl/>
        </w:rPr>
        <w:t xml:space="preserve">. </w:t>
      </w:r>
    </w:p>
    <w:p w:rsidR="00944FC1" w:rsidRPr="00944FC1" w:rsidRDefault="00944FC1" w:rsidP="00944FC1">
      <w:pPr>
        <w:spacing w:after="0" w:line="36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התנהלות הצדדים לאחר </w:t>
      </w:r>
      <w:r w:rsidRPr="00944FC1">
        <w:rPr>
          <w:rFonts w:ascii="David" w:eastAsia="Calibri" w:hAnsi="David" w:cs="David" w:hint="cs"/>
          <w:sz w:val="24"/>
          <w:szCs w:val="24"/>
          <w:rtl/>
        </w:rPr>
        <w:t>ה</w:t>
      </w:r>
      <w:r w:rsidRPr="00944FC1">
        <w:rPr>
          <w:rFonts w:ascii="David" w:eastAsia="Calibri" w:hAnsi="David" w:cs="David"/>
          <w:sz w:val="24"/>
          <w:szCs w:val="24"/>
          <w:rtl/>
        </w:rPr>
        <w:t>גירושי</w:t>
      </w:r>
      <w:r w:rsidRPr="00944FC1">
        <w:rPr>
          <w:rFonts w:ascii="David" w:eastAsia="Calibri" w:hAnsi="David" w:cs="David" w:hint="cs"/>
          <w:sz w:val="24"/>
          <w:szCs w:val="24"/>
          <w:rtl/>
        </w:rPr>
        <w:t>ן של</w:t>
      </w:r>
      <w:r w:rsidRPr="00944FC1">
        <w:rPr>
          <w:rFonts w:ascii="David" w:eastAsia="Calibri" w:hAnsi="David" w:cs="David"/>
          <w:sz w:val="24"/>
          <w:szCs w:val="24"/>
          <w:rtl/>
        </w:rPr>
        <w:t xml:space="preserve"> </w:t>
      </w:r>
      <w:r>
        <w:rPr>
          <w:rFonts w:ascii="David" w:eastAsia="Calibri" w:hAnsi="David" w:cs="David"/>
          <w:sz w:val="24"/>
          <w:szCs w:val="24"/>
          <w:rtl/>
        </w:rPr>
        <w:t>מ.</w:t>
      </w:r>
      <w:r w:rsidRPr="00944FC1">
        <w:rPr>
          <w:rFonts w:ascii="David" w:eastAsia="Calibri" w:hAnsi="David" w:cs="David"/>
          <w:sz w:val="24"/>
          <w:szCs w:val="24"/>
          <w:rtl/>
        </w:rPr>
        <w:t xml:space="preserve"> </w:t>
      </w:r>
      <w:r w:rsidRPr="00944FC1">
        <w:rPr>
          <w:rFonts w:ascii="David" w:eastAsia="Calibri" w:hAnsi="David" w:cs="David" w:hint="cs"/>
          <w:sz w:val="24"/>
          <w:szCs w:val="24"/>
          <w:rtl/>
        </w:rPr>
        <w:t>ו</w:t>
      </w:r>
      <w:r>
        <w:rPr>
          <w:rFonts w:ascii="David" w:eastAsia="Calibri" w:hAnsi="David" w:cs="David"/>
          <w:sz w:val="24"/>
          <w:szCs w:val="24"/>
          <w:rtl/>
        </w:rPr>
        <w:t>ע.</w:t>
      </w:r>
      <w:r w:rsidRPr="00944FC1">
        <w:rPr>
          <w:rFonts w:ascii="David" w:eastAsia="Calibri" w:hAnsi="David" w:cs="David"/>
          <w:sz w:val="24"/>
          <w:szCs w:val="24"/>
          <w:rtl/>
        </w:rPr>
        <w:t xml:space="preserve"> מחזקת את גרסת התובעים. </w:t>
      </w:r>
      <w:r>
        <w:rPr>
          <w:rFonts w:ascii="David" w:eastAsia="Calibri" w:hAnsi="David" w:cs="David"/>
          <w:sz w:val="24"/>
          <w:szCs w:val="24"/>
          <w:rtl/>
        </w:rPr>
        <w:t>ש.</w:t>
      </w:r>
      <w:r w:rsidRPr="00944FC1">
        <w:rPr>
          <w:rFonts w:ascii="David" w:eastAsia="Calibri" w:hAnsi="David" w:cs="David"/>
          <w:sz w:val="24"/>
          <w:szCs w:val="24"/>
          <w:rtl/>
        </w:rPr>
        <w:t xml:space="preserve"> התגורר בבית הקטן שנים רבות ולא שילם דמי שכירות. הוא חתם על הסכם שכירות מול </w:t>
      </w:r>
      <w:r>
        <w:rPr>
          <w:rFonts w:ascii="David" w:eastAsia="Calibri" w:hAnsi="David" w:cs="David"/>
          <w:sz w:val="24"/>
          <w:szCs w:val="24"/>
          <w:rtl/>
        </w:rPr>
        <w:t>ח.</w:t>
      </w:r>
      <w:r w:rsidRPr="00944FC1">
        <w:rPr>
          <w:rFonts w:ascii="David" w:eastAsia="Calibri" w:hAnsi="David" w:cs="David"/>
          <w:sz w:val="24"/>
          <w:szCs w:val="24"/>
          <w:rtl/>
        </w:rPr>
        <w:t xml:space="preserve"> בלבד. </w:t>
      </w:r>
      <w:r>
        <w:rPr>
          <w:rFonts w:ascii="David" w:eastAsia="Calibri" w:hAnsi="David" w:cs="David"/>
          <w:sz w:val="24"/>
          <w:szCs w:val="24"/>
          <w:rtl/>
        </w:rPr>
        <w:t>א.</w:t>
      </w:r>
      <w:r w:rsidRPr="00944FC1">
        <w:rPr>
          <w:rFonts w:ascii="David" w:eastAsia="Calibri" w:hAnsi="David" w:cs="David"/>
          <w:sz w:val="24"/>
          <w:szCs w:val="24"/>
          <w:rtl/>
        </w:rPr>
        <w:t xml:space="preserve"> טוענת שיש בכך לחזק את טענתה של</w:t>
      </w:r>
      <w:r>
        <w:rPr>
          <w:rFonts w:ascii="David" w:eastAsia="Calibri" w:hAnsi="David" w:cs="David"/>
          <w:sz w:val="24"/>
          <w:szCs w:val="24"/>
          <w:rtl/>
        </w:rPr>
        <w:t>מ.</w:t>
      </w:r>
      <w:r w:rsidRPr="00944FC1">
        <w:rPr>
          <w:rFonts w:ascii="David" w:eastAsia="Calibri" w:hAnsi="David" w:cs="David"/>
          <w:sz w:val="24"/>
          <w:szCs w:val="24"/>
          <w:rtl/>
        </w:rPr>
        <w:t xml:space="preserve"> אין זכויות בנכס. התובע מסביר כי אביו לא חשש ממנו ורק </w:t>
      </w:r>
      <w:r>
        <w:rPr>
          <w:rFonts w:ascii="David" w:eastAsia="Calibri" w:hAnsi="David" w:cs="David"/>
          <w:sz w:val="24"/>
          <w:szCs w:val="24"/>
          <w:rtl/>
        </w:rPr>
        <w:t>ח.</w:t>
      </w:r>
      <w:r w:rsidRPr="00944FC1">
        <w:rPr>
          <w:rFonts w:ascii="David" w:eastAsia="Calibri" w:hAnsi="David" w:cs="David"/>
          <w:sz w:val="24"/>
          <w:szCs w:val="24"/>
          <w:rtl/>
        </w:rPr>
        <w:t xml:space="preserve"> דרש לחתום על הסכם שכירות. להתרשמותי, </w:t>
      </w:r>
      <w:r>
        <w:rPr>
          <w:rFonts w:ascii="David" w:eastAsia="Calibri" w:hAnsi="David" w:cs="David"/>
          <w:sz w:val="24"/>
          <w:szCs w:val="24"/>
          <w:rtl/>
        </w:rPr>
        <w:t>ח.</w:t>
      </w:r>
      <w:r w:rsidRPr="00944FC1">
        <w:rPr>
          <w:rFonts w:ascii="David" w:eastAsia="Calibri" w:hAnsi="David" w:cs="David"/>
          <w:sz w:val="24"/>
          <w:szCs w:val="24"/>
          <w:rtl/>
        </w:rPr>
        <w:t xml:space="preserve"> לא היה מאפשר לתובע להתגורר במקום בחינם לו </w:t>
      </w:r>
      <w:r w:rsidRPr="00944FC1">
        <w:rPr>
          <w:rFonts w:ascii="David" w:eastAsia="Calibri" w:hAnsi="David" w:cs="David"/>
          <w:sz w:val="24"/>
          <w:szCs w:val="24"/>
          <w:rtl/>
        </w:rPr>
        <w:lastRenderedPageBreak/>
        <w:t>לא היו ל</w:t>
      </w:r>
      <w:r>
        <w:rPr>
          <w:rFonts w:ascii="David" w:eastAsia="Calibri" w:hAnsi="David" w:cs="David"/>
          <w:sz w:val="24"/>
          <w:szCs w:val="24"/>
          <w:rtl/>
        </w:rPr>
        <w:t>מ.</w:t>
      </w:r>
      <w:r w:rsidRPr="00944FC1">
        <w:rPr>
          <w:rFonts w:ascii="David" w:eastAsia="Calibri" w:hAnsi="David" w:cs="David"/>
          <w:sz w:val="24"/>
          <w:szCs w:val="24"/>
          <w:rtl/>
        </w:rPr>
        <w:t xml:space="preserve"> כל זכויות בנכס. </w:t>
      </w:r>
      <w:r>
        <w:rPr>
          <w:rFonts w:ascii="David" w:eastAsia="Calibri" w:hAnsi="David" w:cs="David"/>
          <w:sz w:val="24"/>
          <w:szCs w:val="24"/>
          <w:rtl/>
        </w:rPr>
        <w:t>מ.</w:t>
      </w:r>
      <w:r w:rsidRPr="00944FC1">
        <w:rPr>
          <w:rFonts w:ascii="David" w:eastAsia="Calibri" w:hAnsi="David" w:cs="David"/>
          <w:sz w:val="24"/>
          <w:szCs w:val="24"/>
          <w:rtl/>
        </w:rPr>
        <w:t xml:space="preserve"> אף חתם על התנגדות לבקשת היתר שהגיש השכן בשנת 2011. גם בכך יש חיזוק למסקנה שיש לו זכויות במקרקעין. </w:t>
      </w:r>
    </w:p>
    <w:p w:rsidR="00944FC1" w:rsidRPr="00944FC1" w:rsidRDefault="00944FC1" w:rsidP="00944FC1">
      <w:pPr>
        <w:spacing w:after="0" w:line="360" w:lineRule="auto"/>
        <w:ind w:left="501"/>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מסקנה זו מתיישבת עם השיחה המשפחתית שבה הוסכם לבסוף שאין לשנות את רישום הזכויות ושלכל אחד מהאחים מחצית הזכויות. היא מתיישבת גם עם התנהלותו של </w:t>
      </w:r>
      <w:r>
        <w:rPr>
          <w:rFonts w:ascii="David" w:eastAsia="Calibri" w:hAnsi="David" w:cs="David"/>
          <w:sz w:val="24"/>
          <w:szCs w:val="24"/>
          <w:rtl/>
        </w:rPr>
        <w:t>ח.</w:t>
      </w:r>
      <w:r w:rsidRPr="00944FC1">
        <w:rPr>
          <w:rFonts w:ascii="David" w:eastAsia="Calibri" w:hAnsi="David" w:cs="David"/>
          <w:sz w:val="24"/>
          <w:szCs w:val="24"/>
          <w:rtl/>
        </w:rPr>
        <w:t xml:space="preserve"> לאחר מכן. על אף שהסיכום לא נחתם ולא יצא אל הפועל, ועל אף הסכסוך הכבד שנפל בין האחים, </w:t>
      </w:r>
      <w:r>
        <w:rPr>
          <w:rFonts w:ascii="David" w:eastAsia="Calibri" w:hAnsi="David" w:cs="David"/>
          <w:sz w:val="24"/>
          <w:szCs w:val="24"/>
          <w:rtl/>
        </w:rPr>
        <w:t>ח.</w:t>
      </w:r>
      <w:r w:rsidRPr="00944FC1">
        <w:rPr>
          <w:rFonts w:ascii="David" w:eastAsia="Calibri" w:hAnsi="David" w:cs="David"/>
          <w:sz w:val="24"/>
          <w:szCs w:val="24"/>
          <w:rtl/>
        </w:rPr>
        <w:t xml:space="preserve"> לא מצא לנכון להגיש תביעה בדבר זכויותיו הנטענות. הוא לא עשה כן כי להבנתו ולאמונתו הרישום ברמ"י משקף את הזכויות בפועל. </w:t>
      </w:r>
    </w:p>
    <w:p w:rsidR="00944FC1" w:rsidRPr="00944FC1" w:rsidRDefault="00944FC1" w:rsidP="00944FC1">
      <w:pPr>
        <w:spacing w:after="0" w:line="360" w:lineRule="auto"/>
        <w:ind w:left="501"/>
        <w:contextualSpacing/>
        <w:mirrorIndents/>
        <w:jc w:val="both"/>
        <w:rPr>
          <w:rFonts w:ascii="David" w:eastAsia="Calibri" w:hAnsi="David" w:cs="David"/>
          <w:sz w:val="24"/>
          <w:szCs w:val="24"/>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לאור כל האמור, </w:t>
      </w:r>
      <w:r>
        <w:rPr>
          <w:rFonts w:ascii="David" w:eastAsia="Calibri" w:hAnsi="David" w:cs="David"/>
          <w:sz w:val="24"/>
          <w:szCs w:val="24"/>
          <w:rtl/>
        </w:rPr>
        <w:t>א.</w:t>
      </w:r>
      <w:r w:rsidRPr="00944FC1">
        <w:rPr>
          <w:rFonts w:ascii="David" w:eastAsia="Calibri" w:hAnsi="David" w:cs="David"/>
          <w:sz w:val="24"/>
          <w:szCs w:val="24"/>
          <w:rtl/>
        </w:rPr>
        <w:t xml:space="preserve"> לא הוכיחה את טענותיה שאין ל</w:t>
      </w:r>
      <w:r>
        <w:rPr>
          <w:rFonts w:ascii="David" w:eastAsia="Calibri" w:hAnsi="David" w:cs="David"/>
          <w:sz w:val="24"/>
          <w:szCs w:val="24"/>
          <w:rtl/>
        </w:rPr>
        <w:t>מ.</w:t>
      </w:r>
      <w:r w:rsidRPr="00944FC1">
        <w:rPr>
          <w:rFonts w:ascii="David" w:eastAsia="Calibri" w:hAnsi="David" w:cs="David"/>
          <w:sz w:val="24"/>
          <w:szCs w:val="24"/>
          <w:rtl/>
        </w:rPr>
        <w:t xml:space="preserve"> זכויות בנכס. המצג שהציגו </w:t>
      </w:r>
      <w:r>
        <w:rPr>
          <w:rFonts w:ascii="David" w:eastAsia="Calibri" w:hAnsi="David" w:cs="David"/>
          <w:sz w:val="24"/>
          <w:szCs w:val="24"/>
          <w:rtl/>
        </w:rPr>
        <w:t>ח.</w:t>
      </w:r>
      <w:r w:rsidRPr="00944FC1">
        <w:rPr>
          <w:rFonts w:ascii="David" w:eastAsia="Calibri" w:hAnsi="David" w:cs="David"/>
          <w:sz w:val="24"/>
          <w:szCs w:val="24"/>
          <w:rtl/>
        </w:rPr>
        <w:t xml:space="preserve"> ו</w:t>
      </w:r>
      <w:r>
        <w:rPr>
          <w:rFonts w:ascii="David" w:eastAsia="Calibri" w:hAnsi="David" w:cs="David"/>
          <w:sz w:val="24"/>
          <w:szCs w:val="24"/>
          <w:rtl/>
        </w:rPr>
        <w:t>מ.</w:t>
      </w:r>
      <w:r w:rsidRPr="00944FC1">
        <w:rPr>
          <w:rFonts w:ascii="David" w:eastAsia="Calibri" w:hAnsi="David" w:cs="David"/>
          <w:sz w:val="24"/>
          <w:szCs w:val="24"/>
          <w:rtl/>
        </w:rPr>
        <w:t xml:space="preserve"> לבית משפט לענייני משפחה אין די בו, לבדו, כדי לקבל את תביעתה , ומכל מקום  </w:t>
      </w:r>
      <w:r>
        <w:rPr>
          <w:rFonts w:ascii="David" w:eastAsia="Calibri" w:hAnsi="David" w:cs="David"/>
          <w:sz w:val="24"/>
          <w:szCs w:val="24"/>
          <w:rtl/>
        </w:rPr>
        <w:t>א.</w:t>
      </w:r>
      <w:r w:rsidRPr="00944FC1">
        <w:rPr>
          <w:rFonts w:ascii="David" w:eastAsia="Calibri" w:hAnsi="David" w:cs="David"/>
          <w:sz w:val="24"/>
          <w:szCs w:val="24"/>
          <w:rtl/>
        </w:rPr>
        <w:t xml:space="preserve"> לא עמדה בנטל המוטל עליה.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Pr>
          <w:rFonts w:ascii="David" w:eastAsia="Calibri" w:hAnsi="David" w:cs="David"/>
          <w:sz w:val="24"/>
          <w:szCs w:val="24"/>
          <w:rtl/>
        </w:rPr>
        <w:t>א.</w:t>
      </w:r>
      <w:r w:rsidRPr="00944FC1">
        <w:rPr>
          <w:rFonts w:ascii="David" w:eastAsia="Calibri" w:hAnsi="David" w:cs="David"/>
          <w:sz w:val="24"/>
          <w:szCs w:val="24"/>
          <w:rtl/>
        </w:rPr>
        <w:t xml:space="preserve"> טוענת שהתובעים מושתקים מלטעון טענה הפוכה לטענות </w:t>
      </w:r>
      <w:r>
        <w:rPr>
          <w:rFonts w:ascii="David" w:eastAsia="Calibri" w:hAnsi="David" w:cs="David"/>
          <w:sz w:val="24"/>
          <w:szCs w:val="24"/>
          <w:rtl/>
        </w:rPr>
        <w:t>מ.</w:t>
      </w:r>
      <w:r w:rsidRPr="00944FC1">
        <w:rPr>
          <w:rFonts w:ascii="David" w:eastAsia="Calibri" w:hAnsi="David" w:cs="David"/>
          <w:sz w:val="24"/>
          <w:szCs w:val="24"/>
          <w:rtl/>
        </w:rPr>
        <w:t xml:space="preserve"> בכתב ההגנה בתביעה הרכושית. אני דוחה טענה זו. שאלת מערכת הזכויות בין האחים המנוחים כלל לא נדונה ולא הוכרעה וגם אין לה ביטוי של "הצלחה" בהסדר הגירושין. על כן לא חל בעניינם של התובעים מעשה בי</w:t>
      </w:r>
      <w:r w:rsidRPr="00944FC1">
        <w:rPr>
          <w:rFonts w:ascii="David" w:eastAsia="Calibri" w:hAnsi="David" w:cs="David" w:hint="cs"/>
          <w:sz w:val="24"/>
          <w:szCs w:val="24"/>
          <w:rtl/>
        </w:rPr>
        <w:t>ת</w:t>
      </w:r>
      <w:r w:rsidRPr="00944FC1">
        <w:rPr>
          <w:rFonts w:ascii="David" w:eastAsia="Calibri" w:hAnsi="David" w:cs="David"/>
          <w:sz w:val="24"/>
          <w:szCs w:val="24"/>
          <w:rtl/>
        </w:rPr>
        <w:t xml:space="preserve"> דין ואף לא השתק שיפוטי.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גם טענת </w:t>
      </w:r>
      <w:r>
        <w:rPr>
          <w:rFonts w:ascii="David" w:eastAsia="Calibri" w:hAnsi="David" w:cs="David"/>
          <w:sz w:val="24"/>
          <w:szCs w:val="24"/>
          <w:rtl/>
        </w:rPr>
        <w:t>א.</w:t>
      </w:r>
      <w:r w:rsidRPr="00944FC1">
        <w:rPr>
          <w:rFonts w:ascii="David" w:eastAsia="Calibri" w:hAnsi="David" w:cs="David"/>
          <w:sz w:val="24"/>
          <w:szCs w:val="24"/>
          <w:rtl/>
        </w:rPr>
        <w:t xml:space="preserve"> כי </w:t>
      </w:r>
      <w:r>
        <w:rPr>
          <w:rFonts w:ascii="David" w:eastAsia="Calibri" w:hAnsi="David" w:cs="David"/>
          <w:sz w:val="24"/>
          <w:szCs w:val="24"/>
          <w:rtl/>
        </w:rPr>
        <w:t>ח.</w:t>
      </w:r>
      <w:r w:rsidRPr="00944FC1">
        <w:rPr>
          <w:rFonts w:ascii="David" w:eastAsia="Calibri" w:hAnsi="David" w:cs="David"/>
          <w:sz w:val="24"/>
          <w:szCs w:val="24"/>
          <w:rtl/>
        </w:rPr>
        <w:t xml:space="preserve"> העביר ל</w:t>
      </w:r>
      <w:r>
        <w:rPr>
          <w:rFonts w:ascii="David" w:eastAsia="Calibri" w:hAnsi="David" w:cs="David"/>
          <w:sz w:val="24"/>
          <w:szCs w:val="24"/>
          <w:rtl/>
        </w:rPr>
        <w:t>מ.</w:t>
      </w:r>
      <w:r w:rsidRPr="00944FC1">
        <w:rPr>
          <w:rFonts w:ascii="David" w:eastAsia="Calibri" w:hAnsi="David" w:cs="David"/>
          <w:sz w:val="24"/>
          <w:szCs w:val="24"/>
          <w:rtl/>
        </w:rPr>
        <w:t xml:space="preserve"> סכום של 200,000 $ (הסכום שהיה על </w:t>
      </w:r>
      <w:r>
        <w:rPr>
          <w:rFonts w:ascii="David" w:eastAsia="Calibri" w:hAnsi="David" w:cs="David"/>
          <w:sz w:val="24"/>
          <w:szCs w:val="24"/>
          <w:rtl/>
        </w:rPr>
        <w:t>מ.</w:t>
      </w:r>
      <w:r w:rsidRPr="00944FC1">
        <w:rPr>
          <w:rFonts w:ascii="David" w:eastAsia="Calibri" w:hAnsi="David" w:cs="David"/>
          <w:sz w:val="24"/>
          <w:szCs w:val="24"/>
          <w:rtl/>
        </w:rPr>
        <w:t xml:space="preserve"> לשלם ל</w:t>
      </w:r>
      <w:r>
        <w:rPr>
          <w:rFonts w:ascii="David" w:eastAsia="Calibri" w:hAnsi="David" w:cs="David"/>
          <w:sz w:val="24"/>
          <w:szCs w:val="24"/>
          <w:rtl/>
        </w:rPr>
        <w:t>ע.</w:t>
      </w:r>
      <w:r w:rsidRPr="00944FC1">
        <w:rPr>
          <w:rFonts w:ascii="David" w:eastAsia="Calibri" w:hAnsi="David" w:cs="David"/>
          <w:sz w:val="24"/>
          <w:szCs w:val="24"/>
          <w:rtl/>
        </w:rPr>
        <w:t xml:space="preserve"> מכוח הסדר הגירושין), בתמורה לחלקו בנכס אינה מבוססת דיה. איני נדרשת למחלוקת בין הצדדים האם החוב הוא 200,000 $ כטענת </w:t>
      </w:r>
      <w:r>
        <w:rPr>
          <w:rFonts w:ascii="David" w:eastAsia="Calibri" w:hAnsi="David" w:cs="David"/>
          <w:sz w:val="24"/>
          <w:szCs w:val="24"/>
          <w:rtl/>
        </w:rPr>
        <w:t>א.</w:t>
      </w:r>
      <w:r w:rsidRPr="00944FC1">
        <w:rPr>
          <w:rFonts w:ascii="David" w:eastAsia="Calibri" w:hAnsi="David" w:cs="David"/>
          <w:sz w:val="24"/>
          <w:szCs w:val="24"/>
          <w:rtl/>
        </w:rPr>
        <w:t xml:space="preserve"> או 100,000 $ כטענת התובעים (שכן  הכספים שולמו מכספים משותפים ל</w:t>
      </w:r>
      <w:r>
        <w:rPr>
          <w:rFonts w:ascii="David" w:eastAsia="Calibri" w:hAnsi="David" w:cs="David"/>
          <w:sz w:val="24"/>
          <w:szCs w:val="24"/>
          <w:rtl/>
        </w:rPr>
        <w:t>מ.</w:t>
      </w:r>
      <w:r w:rsidRPr="00944FC1">
        <w:rPr>
          <w:rFonts w:ascii="David" w:eastAsia="Calibri" w:hAnsi="David" w:cs="David"/>
          <w:sz w:val="24"/>
          <w:szCs w:val="24"/>
          <w:rtl/>
        </w:rPr>
        <w:t xml:space="preserve"> ו</w:t>
      </w:r>
      <w:r>
        <w:rPr>
          <w:rFonts w:ascii="David" w:eastAsia="Calibri" w:hAnsi="David" w:cs="David"/>
          <w:sz w:val="24"/>
          <w:szCs w:val="24"/>
          <w:rtl/>
        </w:rPr>
        <w:t>ח.</w:t>
      </w:r>
      <w:r w:rsidRPr="00944FC1">
        <w:rPr>
          <w:rFonts w:ascii="David" w:eastAsia="Calibri" w:hAnsi="David" w:cs="David"/>
          <w:sz w:val="24"/>
          <w:szCs w:val="24"/>
          <w:rtl/>
        </w:rPr>
        <w:t>). גם בלעדי מחלוקת זו ניתן לקבוע ש</w:t>
      </w:r>
      <w:r>
        <w:rPr>
          <w:rFonts w:ascii="David" w:eastAsia="Calibri" w:hAnsi="David" w:cs="David"/>
          <w:sz w:val="24"/>
          <w:szCs w:val="24"/>
          <w:rtl/>
        </w:rPr>
        <w:t>א.</w:t>
      </w:r>
      <w:r w:rsidRPr="00944FC1">
        <w:rPr>
          <w:rFonts w:ascii="David" w:eastAsia="Calibri" w:hAnsi="David" w:cs="David"/>
          <w:sz w:val="24"/>
          <w:szCs w:val="24"/>
          <w:rtl/>
        </w:rPr>
        <w:t xml:space="preserve"> לא הוכיחה את טענתה. </w:t>
      </w:r>
      <w:r>
        <w:rPr>
          <w:rFonts w:ascii="David" w:eastAsia="Calibri" w:hAnsi="David" w:cs="David"/>
          <w:sz w:val="24"/>
          <w:szCs w:val="24"/>
          <w:rtl/>
        </w:rPr>
        <w:t>א.</w:t>
      </w:r>
      <w:r w:rsidRPr="00944FC1">
        <w:rPr>
          <w:rFonts w:ascii="David" w:eastAsia="Calibri" w:hAnsi="David" w:cs="David"/>
          <w:sz w:val="24"/>
          <w:szCs w:val="24"/>
          <w:rtl/>
        </w:rPr>
        <w:t xml:space="preserve"> אישרה בחקירתה כי הסכם שכזה לא מומש לבסוף (פרוטוקול עמ' 99). </w:t>
      </w:r>
      <w:r>
        <w:rPr>
          <w:rFonts w:ascii="David" w:eastAsia="Calibri" w:hAnsi="David" w:cs="David"/>
          <w:sz w:val="24"/>
          <w:szCs w:val="24"/>
          <w:rtl/>
        </w:rPr>
        <w:t>א.</w:t>
      </w:r>
      <w:r w:rsidRPr="00944FC1">
        <w:rPr>
          <w:rFonts w:ascii="David" w:eastAsia="Calibri" w:hAnsi="David" w:cs="David"/>
          <w:sz w:val="24"/>
          <w:szCs w:val="24"/>
          <w:rtl/>
        </w:rPr>
        <w:t xml:space="preserve"> לא הציגה  ראיות המעידות על כך שהעברת הכספים הייתה קשורה באופן ישיר לוויתור על זכויות בנכס, וכאמור התנהלות הצדדים לאחר מכן אינה מתיישבת עם טענה זו. זאת ועוד, אפילו התכוונו האחים המנוחים לפעול בדרך זו היה עליהם לערוך מסמך בכתב המעגן את הסכמתם כנדרש בעסקאות מקרקעין בהתאם להוראות סעיף 8 בחוק המקרקעין. מסמך שכזה לא נערך. גם בעניין זה</w:t>
      </w:r>
      <w:r w:rsidRPr="00944FC1">
        <w:rPr>
          <w:rFonts w:ascii="David" w:eastAsia="Calibri" w:hAnsi="David" w:cs="David" w:hint="cs"/>
          <w:sz w:val="24"/>
          <w:szCs w:val="24"/>
          <w:rtl/>
        </w:rPr>
        <w:t>,</w:t>
      </w:r>
      <w:r w:rsidRPr="00944FC1">
        <w:rPr>
          <w:rFonts w:ascii="David" w:eastAsia="Calibri" w:hAnsi="David" w:cs="David"/>
          <w:sz w:val="24"/>
          <w:szCs w:val="24"/>
          <w:rtl/>
        </w:rPr>
        <w:t xml:space="preserve"> </w:t>
      </w:r>
      <w:r>
        <w:rPr>
          <w:rFonts w:ascii="David" w:eastAsia="Calibri" w:hAnsi="David" w:cs="David"/>
          <w:sz w:val="24"/>
          <w:szCs w:val="24"/>
          <w:rtl/>
        </w:rPr>
        <w:t>ח.</w:t>
      </w:r>
      <w:r w:rsidRPr="00944FC1">
        <w:rPr>
          <w:rFonts w:ascii="David" w:eastAsia="Calibri" w:hAnsi="David" w:cs="David"/>
          <w:sz w:val="24"/>
          <w:szCs w:val="24"/>
          <w:rtl/>
        </w:rPr>
        <w:t xml:space="preserve"> לא חשב שהוא זכאי לקבל את זכויותיו של </w:t>
      </w:r>
      <w:r>
        <w:rPr>
          <w:rFonts w:ascii="David" w:eastAsia="Calibri" w:hAnsi="David" w:cs="David"/>
          <w:sz w:val="24"/>
          <w:szCs w:val="24"/>
          <w:rtl/>
        </w:rPr>
        <w:t>מ.</w:t>
      </w:r>
      <w:r w:rsidRPr="00944FC1">
        <w:rPr>
          <w:rFonts w:ascii="David" w:eastAsia="Calibri" w:hAnsi="David" w:cs="David"/>
          <w:sz w:val="24"/>
          <w:szCs w:val="24"/>
          <w:rtl/>
        </w:rPr>
        <w:t xml:space="preserve"> בנכס כנגד הכספים שהעביר ל</w:t>
      </w:r>
      <w:r>
        <w:rPr>
          <w:rFonts w:ascii="David" w:eastAsia="Calibri" w:hAnsi="David" w:cs="David"/>
          <w:sz w:val="24"/>
          <w:szCs w:val="24"/>
          <w:rtl/>
        </w:rPr>
        <w:t>מ.</w:t>
      </w:r>
      <w:r w:rsidRPr="00944FC1">
        <w:rPr>
          <w:rFonts w:ascii="David" w:eastAsia="Calibri" w:hAnsi="David" w:cs="David"/>
          <w:sz w:val="24"/>
          <w:szCs w:val="24"/>
          <w:rtl/>
        </w:rPr>
        <w:t xml:space="preserve">, ותוצאת הפגישה המשפחתית אינה משנה את הקיים- דהיינו חלוקת הזכויות בנכס בחלקים שווים.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אין באמור כדי לקבוע ממצאים בשאלת החלוקה הפנימית בין </w:t>
      </w:r>
      <w:r>
        <w:rPr>
          <w:rFonts w:ascii="David" w:eastAsia="Calibri" w:hAnsi="David" w:cs="David"/>
          <w:sz w:val="24"/>
          <w:szCs w:val="24"/>
          <w:rtl/>
        </w:rPr>
        <w:t>מ.</w:t>
      </w:r>
      <w:r w:rsidRPr="00944FC1">
        <w:rPr>
          <w:rFonts w:ascii="David" w:eastAsia="Calibri" w:hAnsi="David" w:cs="David"/>
          <w:sz w:val="24"/>
          <w:szCs w:val="24"/>
          <w:rtl/>
        </w:rPr>
        <w:t xml:space="preserve"> ו</w:t>
      </w:r>
      <w:r>
        <w:rPr>
          <w:rFonts w:ascii="David" w:eastAsia="Calibri" w:hAnsi="David" w:cs="David"/>
          <w:sz w:val="24"/>
          <w:szCs w:val="24"/>
          <w:rtl/>
        </w:rPr>
        <w:t>ח.</w:t>
      </w:r>
      <w:r w:rsidRPr="00944FC1">
        <w:rPr>
          <w:rFonts w:ascii="David" w:eastAsia="Calibri" w:hAnsi="David" w:cs="David"/>
          <w:sz w:val="24"/>
          <w:szCs w:val="24"/>
          <w:rtl/>
        </w:rPr>
        <w:t xml:space="preserve"> בנכס לרבות בשאלה מי מהם זכאי להחזיק בבית הקטן אם בכלל. שאלה זו תתברר במסגרת תביעת פירוק השיתוף. </w:t>
      </w:r>
    </w:p>
    <w:p w:rsidR="00944FC1" w:rsidRPr="00944FC1" w:rsidRDefault="00944FC1" w:rsidP="00944FC1">
      <w:pPr>
        <w:spacing w:after="0" w:line="240" w:lineRule="auto"/>
        <w:ind w:left="720"/>
        <w:contextualSpacing/>
        <w:rPr>
          <w:rFonts w:ascii="David" w:eastAsia="Calibri" w:hAnsi="David" w:cs="David"/>
          <w:sz w:val="24"/>
          <w:szCs w:val="24"/>
          <w:rtl/>
        </w:rPr>
      </w:pPr>
    </w:p>
    <w:p w:rsidR="00944FC1" w:rsidRPr="00944FC1" w:rsidRDefault="00944FC1" w:rsidP="00944FC1">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לאור כל האמור טענת </w:t>
      </w:r>
      <w:r>
        <w:rPr>
          <w:rFonts w:ascii="David" w:eastAsia="Calibri" w:hAnsi="David" w:cs="David"/>
          <w:sz w:val="24"/>
          <w:szCs w:val="24"/>
          <w:rtl/>
        </w:rPr>
        <w:t>א.</w:t>
      </w:r>
      <w:r w:rsidRPr="00944FC1">
        <w:rPr>
          <w:rFonts w:ascii="David" w:eastAsia="Calibri" w:hAnsi="David" w:cs="David"/>
          <w:sz w:val="24"/>
          <w:szCs w:val="24"/>
          <w:rtl/>
        </w:rPr>
        <w:t xml:space="preserve"> בקשר לנכס בלוחמי הגטאות - נדחות. כפועל יוצא, נדחית גם תביעתה נגד </w:t>
      </w:r>
      <w:r>
        <w:rPr>
          <w:rFonts w:ascii="David" w:eastAsia="Calibri" w:hAnsi="David" w:cs="David"/>
          <w:sz w:val="24"/>
          <w:szCs w:val="24"/>
          <w:rtl/>
        </w:rPr>
        <w:t>ר.</w:t>
      </w:r>
      <w:r w:rsidRPr="00944FC1">
        <w:rPr>
          <w:rFonts w:ascii="David" w:eastAsia="Calibri" w:hAnsi="David" w:cs="David"/>
          <w:sz w:val="24"/>
          <w:szCs w:val="24"/>
          <w:rtl/>
        </w:rPr>
        <w:t xml:space="preserve"> לסילוק יד ולתשלום דמי שימוש. </w:t>
      </w:r>
    </w:p>
    <w:p w:rsidR="00944FC1" w:rsidRPr="00944FC1" w:rsidRDefault="00944FC1" w:rsidP="00944FC1">
      <w:pPr>
        <w:spacing w:after="0" w:line="360" w:lineRule="auto"/>
        <w:mirrorIndents/>
        <w:jc w:val="both"/>
        <w:rPr>
          <w:rFonts w:ascii="David" w:eastAsia="Calibri" w:hAnsi="David" w:cs="David"/>
          <w:sz w:val="24"/>
          <w:szCs w:val="24"/>
          <w:rtl/>
        </w:rPr>
      </w:pPr>
    </w:p>
    <w:p w:rsidR="00944FC1" w:rsidRPr="00944FC1" w:rsidRDefault="00944FC1" w:rsidP="00944FC1">
      <w:pPr>
        <w:spacing w:after="0" w:line="360" w:lineRule="auto"/>
        <w:ind w:left="-227" w:right="-227"/>
        <w:mirrorIndents/>
        <w:jc w:val="both"/>
        <w:rPr>
          <w:rFonts w:ascii="David" w:eastAsia="Calibri" w:hAnsi="David" w:cs="David"/>
          <w:sz w:val="24"/>
          <w:szCs w:val="24"/>
          <w:rtl/>
        </w:rPr>
      </w:pPr>
      <w:r w:rsidRPr="00944FC1">
        <w:rPr>
          <w:rFonts w:ascii="David" w:eastAsia="Calibri" w:hAnsi="David" w:cs="David"/>
          <w:b/>
          <w:bCs/>
          <w:sz w:val="24"/>
          <w:szCs w:val="24"/>
          <w:u w:val="single"/>
          <w:rtl/>
        </w:rPr>
        <w:t xml:space="preserve">סוף דבר </w:t>
      </w:r>
    </w:p>
    <w:p w:rsidR="00944FC1" w:rsidRPr="00944FC1" w:rsidRDefault="00944FC1" w:rsidP="00944FC1">
      <w:pPr>
        <w:spacing w:after="0" w:line="360" w:lineRule="auto"/>
        <w:ind w:left="-227" w:right="-227"/>
        <w:mirrorIndents/>
        <w:jc w:val="both"/>
        <w:rPr>
          <w:rFonts w:ascii="David" w:eastAsia="Calibri" w:hAnsi="David" w:cs="David"/>
          <w:sz w:val="24"/>
          <w:szCs w:val="24"/>
        </w:rPr>
      </w:pPr>
    </w:p>
    <w:p w:rsidR="00944FC1" w:rsidRPr="00944FC1" w:rsidRDefault="00944FC1" w:rsidP="003463A9">
      <w:pPr>
        <w:numPr>
          <w:ilvl w:val="0"/>
          <w:numId w:val="1"/>
        </w:numPr>
        <w:spacing w:after="0" w:line="360" w:lineRule="auto"/>
        <w:ind w:left="215" w:hanging="215"/>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התובעים </w:t>
      </w:r>
      <w:r w:rsidR="003463A9">
        <w:rPr>
          <w:rFonts w:ascii="David" w:eastAsia="Calibri" w:hAnsi="David" w:cs="David"/>
          <w:sz w:val="24"/>
          <w:szCs w:val="24"/>
          <w:rtl/>
        </w:rPr>
        <w:t>זכאית למחצית מנכסי השותפות ח.מ.</w:t>
      </w:r>
      <w:r w:rsidR="003463A9">
        <w:rPr>
          <w:rFonts w:ascii="David" w:eastAsia="Calibri" w:hAnsi="David" w:cs="David" w:hint="cs"/>
          <w:sz w:val="24"/>
          <w:szCs w:val="24"/>
          <w:rtl/>
        </w:rPr>
        <w:t>מ.</w:t>
      </w:r>
      <w:r w:rsidRPr="00944FC1">
        <w:rPr>
          <w:rFonts w:ascii="David" w:eastAsia="Calibri" w:hAnsi="David" w:cs="David"/>
          <w:sz w:val="24"/>
          <w:szCs w:val="24"/>
          <w:rtl/>
        </w:rPr>
        <w:t xml:space="preserve"> לרבות חשבון הבנק שלה וכל זכות שעמדה לשותפות במועד פטירתו של </w:t>
      </w:r>
      <w:r>
        <w:rPr>
          <w:rFonts w:ascii="David" w:eastAsia="Calibri" w:hAnsi="David" w:cs="David"/>
          <w:sz w:val="24"/>
          <w:szCs w:val="24"/>
          <w:rtl/>
        </w:rPr>
        <w:t>ח.</w:t>
      </w:r>
      <w:r w:rsidRPr="00944FC1">
        <w:rPr>
          <w:rFonts w:ascii="David" w:eastAsia="Calibri" w:hAnsi="David" w:cs="David"/>
          <w:sz w:val="24"/>
          <w:szCs w:val="24"/>
          <w:rtl/>
        </w:rPr>
        <w:t>. אני ממנה את רואה החשבון אריה רפפורט מרח' יגאל אלון 94 (מגדל אלון 2) טל': 036789139 לבדוק את היקף נכסי השותפות ואת הסכום המגיע לכל צד. הצדדים יישאו בעלות המומחה בחלקים שווים. המומחה רשאי להסתייע בכל בעל מקצוע נדרש על פי שיקול דעתו. המומחה מתבקש לגבות את שכ"ט טרם להכנת חוות הדעת.</w:t>
      </w:r>
    </w:p>
    <w:p w:rsidR="00944FC1" w:rsidRPr="00944FC1" w:rsidRDefault="00944FC1" w:rsidP="00944FC1">
      <w:pPr>
        <w:spacing w:after="0" w:line="360" w:lineRule="auto"/>
        <w:ind w:left="227" w:right="227"/>
        <w:contextualSpacing/>
        <w:mirrorIndents/>
        <w:jc w:val="both"/>
        <w:rPr>
          <w:rFonts w:ascii="David" w:eastAsia="Calibri" w:hAnsi="David" w:cs="David"/>
          <w:sz w:val="24"/>
          <w:szCs w:val="24"/>
          <w:rtl/>
        </w:rPr>
      </w:pPr>
      <w:r w:rsidRPr="00944FC1">
        <w:rPr>
          <w:rFonts w:ascii="David" w:eastAsia="Calibri" w:hAnsi="David" w:cs="David"/>
          <w:sz w:val="24"/>
          <w:szCs w:val="24"/>
          <w:rtl/>
        </w:rPr>
        <w:t xml:space="preserve">יתר טענות התובעים בתביעות שהגישו נדחות. כן נדחות טענות </w:t>
      </w:r>
      <w:r>
        <w:rPr>
          <w:rFonts w:ascii="David" w:eastAsia="Calibri" w:hAnsi="David" w:cs="David"/>
          <w:sz w:val="24"/>
          <w:szCs w:val="24"/>
          <w:rtl/>
        </w:rPr>
        <w:t>א.</w:t>
      </w:r>
      <w:r w:rsidRPr="00944FC1">
        <w:rPr>
          <w:rFonts w:ascii="David" w:eastAsia="Calibri" w:hAnsi="David" w:cs="David"/>
          <w:sz w:val="24"/>
          <w:szCs w:val="24"/>
          <w:rtl/>
        </w:rPr>
        <w:t xml:space="preserve"> בתביעתה. </w:t>
      </w:r>
    </w:p>
    <w:p w:rsidR="00944FC1" w:rsidRPr="00944FC1" w:rsidRDefault="00944FC1" w:rsidP="00944FC1">
      <w:pPr>
        <w:spacing w:after="0" w:line="360" w:lineRule="auto"/>
        <w:ind w:left="227" w:right="227"/>
        <w:contextualSpacing/>
        <w:mirrorIndents/>
        <w:jc w:val="both"/>
        <w:rPr>
          <w:rFonts w:ascii="David" w:eastAsia="Calibri" w:hAnsi="David" w:cs="David"/>
          <w:sz w:val="24"/>
          <w:szCs w:val="24"/>
          <w:rtl/>
        </w:rPr>
      </w:pPr>
      <w:r w:rsidRPr="00944FC1">
        <w:rPr>
          <w:rFonts w:ascii="David" w:eastAsia="Calibri" w:hAnsi="David" w:cs="David"/>
          <w:sz w:val="24"/>
          <w:szCs w:val="24"/>
          <w:rtl/>
        </w:rPr>
        <w:t xml:space="preserve">התחייבות </w:t>
      </w:r>
      <w:r>
        <w:rPr>
          <w:rFonts w:ascii="David" w:eastAsia="Calibri" w:hAnsi="David" w:cs="David"/>
          <w:sz w:val="24"/>
          <w:szCs w:val="24"/>
          <w:rtl/>
        </w:rPr>
        <w:t>א.</w:t>
      </w:r>
      <w:r w:rsidRPr="00944FC1">
        <w:rPr>
          <w:rFonts w:ascii="David" w:eastAsia="Calibri" w:hAnsi="David" w:cs="David"/>
          <w:sz w:val="24"/>
          <w:szCs w:val="24"/>
          <w:rtl/>
        </w:rPr>
        <w:t xml:space="preserve"> בפרוטוקול הדיון מיום 1.12.2021-פקעה. </w:t>
      </w:r>
    </w:p>
    <w:p w:rsidR="00944FC1" w:rsidRPr="00944FC1" w:rsidRDefault="00944FC1" w:rsidP="00944FC1">
      <w:pPr>
        <w:spacing w:after="0" w:line="360" w:lineRule="auto"/>
        <w:ind w:left="227" w:right="227"/>
        <w:contextualSpacing/>
        <w:mirrorIndents/>
        <w:jc w:val="both"/>
        <w:rPr>
          <w:rFonts w:ascii="David" w:eastAsia="Calibri" w:hAnsi="David" w:cs="David"/>
          <w:sz w:val="24"/>
          <w:szCs w:val="24"/>
        </w:rPr>
      </w:pPr>
      <w:r w:rsidRPr="00944FC1">
        <w:rPr>
          <w:rFonts w:ascii="David" w:eastAsia="Calibri" w:hAnsi="David" w:cs="David"/>
          <w:sz w:val="24"/>
          <w:szCs w:val="24"/>
          <w:rtl/>
        </w:rPr>
        <w:t xml:space="preserve">נוכח תוצאה זו אין צו להוצאות.  </w:t>
      </w:r>
    </w:p>
    <w:p w:rsidR="00944FC1" w:rsidRPr="00944FC1" w:rsidRDefault="00944FC1" w:rsidP="00944FC1">
      <w:pPr>
        <w:spacing w:after="0" w:line="360" w:lineRule="auto"/>
        <w:jc w:val="both"/>
        <w:rPr>
          <w:rFonts w:ascii="Arial" w:eastAsia="Times New Roman" w:hAnsi="Arial" w:cs="David"/>
          <w:sz w:val="24"/>
          <w:szCs w:val="24"/>
          <w:rtl/>
        </w:rPr>
      </w:pPr>
    </w:p>
    <w:p w:rsidR="00944FC1" w:rsidRPr="00944FC1" w:rsidRDefault="00944FC1" w:rsidP="00944FC1">
      <w:pPr>
        <w:spacing w:after="0" w:line="360" w:lineRule="auto"/>
        <w:jc w:val="both"/>
        <w:rPr>
          <w:rFonts w:ascii="Arial" w:eastAsia="Times New Roman" w:hAnsi="Arial" w:cs="David"/>
          <w:sz w:val="24"/>
          <w:szCs w:val="24"/>
          <w:rtl/>
        </w:rPr>
      </w:pPr>
      <w:r w:rsidRPr="00944FC1">
        <w:rPr>
          <w:rFonts w:ascii="Arial" w:eastAsia="Times New Roman" w:hAnsi="Arial" w:cs="David"/>
          <w:sz w:val="24"/>
          <w:szCs w:val="24"/>
          <w:rtl/>
        </w:rPr>
        <w:t>נית</w:t>
      </w:r>
      <w:r w:rsidRPr="00944FC1">
        <w:rPr>
          <w:rFonts w:ascii="Arial" w:eastAsia="Times New Roman" w:hAnsi="Arial" w:cs="David" w:hint="cs"/>
          <w:sz w:val="24"/>
          <w:szCs w:val="24"/>
          <w:rtl/>
        </w:rPr>
        <w:t>ן</w:t>
      </w:r>
      <w:r w:rsidRPr="00944FC1">
        <w:rPr>
          <w:rFonts w:ascii="Arial" w:eastAsia="Times New Roman" w:hAnsi="Arial" w:cs="David"/>
          <w:sz w:val="24"/>
          <w:szCs w:val="24"/>
          <w:rtl/>
        </w:rPr>
        <w:t xml:space="preserve"> היום, ג' אב תשפ"ד, 07 אוגוסט 2024, בהעדר הצדדים.</w:t>
      </w:r>
    </w:p>
    <w:p w:rsidR="00944FC1" w:rsidRPr="00944FC1" w:rsidRDefault="00944FC1" w:rsidP="00944FC1">
      <w:pPr>
        <w:tabs>
          <w:tab w:val="left" w:pos="2553"/>
        </w:tabs>
        <w:spacing w:after="0" w:line="360" w:lineRule="auto"/>
        <w:ind w:left="5040"/>
        <w:rPr>
          <w:rFonts w:ascii="Times New Roman" w:eastAsia="Times New Roman" w:hAnsi="Times New Roman" w:cs="David"/>
          <w:noProof/>
          <w:sz w:val="24"/>
          <w:szCs w:val="24"/>
          <w:rtl/>
        </w:rPr>
      </w:pPr>
    </w:p>
    <w:p w:rsidR="00944FC1" w:rsidRPr="00944FC1" w:rsidRDefault="00944FC1" w:rsidP="00944FC1">
      <w:pPr>
        <w:tabs>
          <w:tab w:val="left" w:pos="2553"/>
        </w:tabs>
        <w:spacing w:after="0" w:line="360" w:lineRule="auto"/>
        <w:rPr>
          <w:rFonts w:ascii="Arial" w:eastAsia="Times New Roman" w:hAnsi="Arial" w:cs="David"/>
          <w:sz w:val="24"/>
          <w:szCs w:val="24"/>
          <w:rtl/>
        </w:rPr>
      </w:pPr>
      <w:r w:rsidRPr="00944FC1">
        <w:rPr>
          <w:rFonts w:ascii="Times New Roman" w:eastAsia="Times New Roman" w:hAnsi="Times New Roman" w:cs="David" w:hint="cs"/>
          <w:noProof/>
          <w:sz w:val="24"/>
          <w:szCs w:val="24"/>
          <w:rtl/>
        </w:rPr>
        <w:tab/>
      </w:r>
      <w:r w:rsidRPr="00944FC1">
        <w:rPr>
          <w:rFonts w:ascii="Times New Roman" w:eastAsia="Times New Roman" w:hAnsi="Times New Roman" w:cs="David" w:hint="cs"/>
          <w:noProof/>
          <w:sz w:val="24"/>
          <w:szCs w:val="24"/>
          <w:rtl/>
        </w:rPr>
        <w:tab/>
      </w:r>
      <w:r w:rsidRPr="00944FC1">
        <w:rPr>
          <w:rFonts w:ascii="Times New Roman" w:eastAsia="Times New Roman" w:hAnsi="Times New Roman" w:cs="David" w:hint="cs"/>
          <w:noProof/>
          <w:sz w:val="24"/>
          <w:szCs w:val="24"/>
          <w:rtl/>
        </w:rPr>
        <w:tab/>
      </w:r>
      <w:r w:rsidRPr="00944FC1">
        <w:rPr>
          <w:rFonts w:ascii="Times New Roman" w:eastAsia="Times New Roman" w:hAnsi="Times New Roman" w:cs="David" w:hint="cs"/>
          <w:noProof/>
          <w:sz w:val="24"/>
          <w:szCs w:val="24"/>
          <w:rtl/>
        </w:rPr>
        <w:tab/>
        <w:t xml:space="preserve">        </w:t>
      </w:r>
      <w:r w:rsidRPr="00944FC1">
        <w:rPr>
          <w:rFonts w:ascii="Arial" w:eastAsia="Times New Roman" w:hAnsi="Arial" w:cs="David"/>
          <w:sz w:val="24"/>
          <w:szCs w:val="24"/>
          <w:rtl/>
        </w:rPr>
        <w:t>חתימה</w:t>
      </w:r>
    </w:p>
    <w:p w:rsidR="00CD0437" w:rsidRDefault="00CD0437"/>
    <w:sectPr w:rsidR="00CD0437" w:rsidSect="00702DF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024" w:rsidRDefault="00537024" w:rsidP="000C4FCE">
      <w:pPr>
        <w:spacing w:after="0" w:line="240" w:lineRule="auto"/>
      </w:pPr>
      <w:r>
        <w:separator/>
      </w:r>
    </w:p>
  </w:endnote>
  <w:endnote w:type="continuationSeparator" w:id="0">
    <w:p w:rsidR="00537024" w:rsidRDefault="00537024" w:rsidP="000C4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26A" w:rsidRDefault="001B426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26A" w:rsidRDefault="001B426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26A" w:rsidRDefault="001B426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024" w:rsidRDefault="00537024" w:rsidP="000C4FCE">
      <w:pPr>
        <w:spacing w:after="0" w:line="240" w:lineRule="auto"/>
      </w:pPr>
      <w:r>
        <w:separator/>
      </w:r>
    </w:p>
  </w:footnote>
  <w:footnote w:type="continuationSeparator" w:id="0">
    <w:p w:rsidR="00537024" w:rsidRDefault="00537024" w:rsidP="000C4F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26A" w:rsidRDefault="001B426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8306"/>
    </w:tblGrid>
    <w:tr w:rsidR="00B44A05" w:rsidTr="00B44A05">
      <w:trPr>
        <w:trHeight w:val="704"/>
        <w:jc w:val="center"/>
      </w:trPr>
      <w:tc>
        <w:tcPr>
          <w:tcW w:w="8306" w:type="dxa"/>
          <w:hideMark/>
        </w:tcPr>
        <w:p w:rsidR="00B44A05" w:rsidRPr="00C513C0" w:rsidRDefault="00537024" w:rsidP="00B44A05">
          <w:pPr>
            <w:pStyle w:val="a5"/>
            <w:jc w:val="center"/>
            <w:rPr>
              <w:rFonts w:cs="FrankRuehl"/>
              <w:sz w:val="28"/>
              <w:szCs w:val="28"/>
            </w:rPr>
          </w:pPr>
          <w:r>
            <w:rPr>
              <w:rFonts w:cs="FrankRuehl"/>
              <w:sz w:val="28"/>
              <w:szCs w:val="28"/>
            </w:rPr>
            <w:pict w14:anchorId="6C152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ישראל - המנורה - 2" style="width:29.2pt;height:36.3pt;visibility:visible;mso-wrap-style:square">
                <v:imagedata r:id="rId1" o:title="ישראל - המנורה - 2"/>
              </v:shape>
            </w:pict>
          </w:r>
        </w:p>
      </w:tc>
    </w:tr>
    <w:tr w:rsidR="00B44A05" w:rsidTr="00B44A05">
      <w:trPr>
        <w:trHeight w:val="337"/>
        <w:jc w:val="center"/>
      </w:trPr>
      <w:tc>
        <w:tcPr>
          <w:tcW w:w="8306" w:type="dxa"/>
        </w:tcPr>
        <w:tbl>
          <w:tblPr>
            <w:bidiVisual/>
            <w:tblW w:w="0" w:type="auto"/>
            <w:jc w:val="center"/>
            <w:tblLook w:val="04A0" w:firstRow="1" w:lastRow="0" w:firstColumn="1" w:lastColumn="0" w:noHBand="0" w:noVBand="1"/>
          </w:tblPr>
          <w:tblGrid>
            <w:gridCol w:w="8090"/>
          </w:tblGrid>
          <w:tr w:rsidR="00B44A05" w:rsidRPr="00C513C0" w:rsidTr="00DC58DA">
            <w:trPr>
              <w:trHeight w:val="704"/>
              <w:jc w:val="center"/>
            </w:trPr>
            <w:tc>
              <w:tcPr>
                <w:tcW w:w="8307" w:type="dxa"/>
                <w:hideMark/>
              </w:tcPr>
              <w:p w:rsidR="00B44A05" w:rsidRPr="00C513C0" w:rsidRDefault="00B44A05" w:rsidP="00B44A05">
                <w:pPr>
                  <w:pStyle w:val="a5"/>
                  <w:jc w:val="center"/>
                  <w:rPr>
                    <w:rFonts w:ascii="Tahoma" w:hAnsi="Tahoma" w:cs="David"/>
                    <w:color w:val="000080"/>
                    <w:sz w:val="32"/>
                    <w:szCs w:val="32"/>
                    <w:rtl/>
                  </w:rPr>
                </w:pPr>
                <w:r w:rsidRPr="00C513C0">
                  <w:rPr>
                    <w:rFonts w:ascii="Tahoma" w:hAnsi="Tahoma"/>
                    <w:color w:val="000080"/>
                    <w:sz w:val="32"/>
                    <w:szCs w:val="32"/>
                    <w:rtl/>
                  </w:rPr>
                  <w:t>בית המשפט המחוזי מרכז-לוד</w:t>
                </w:r>
              </w:p>
            </w:tc>
          </w:tr>
          <w:tr w:rsidR="00B44A05" w:rsidRPr="00C513C0" w:rsidTr="00DC58DA">
            <w:trPr>
              <w:trHeight w:val="337"/>
              <w:jc w:val="center"/>
            </w:trPr>
            <w:tc>
              <w:tcPr>
                <w:tcW w:w="8307" w:type="dxa"/>
              </w:tcPr>
              <w:p w:rsidR="00B44A05" w:rsidRPr="00B44A05" w:rsidRDefault="00B44A05" w:rsidP="00B44A05">
                <w:pPr>
                  <w:rPr>
                    <w:rFonts w:ascii="David" w:hAnsi="David" w:cs="David"/>
                    <w:b/>
                    <w:bCs/>
                    <w:rtl/>
                  </w:rPr>
                </w:pPr>
                <w:r>
                  <w:rPr>
                    <w:rFonts w:ascii="David" w:hAnsi="David" w:cs="David"/>
                    <w:b/>
                    <w:bCs/>
                    <w:rtl/>
                  </w:rPr>
                  <w:t>ת"א 43509-09-21 מ</w:t>
                </w:r>
                <w:r>
                  <w:rPr>
                    <w:rFonts w:ascii="David" w:hAnsi="David" w:cs="David" w:hint="cs"/>
                    <w:b/>
                    <w:bCs/>
                    <w:rtl/>
                  </w:rPr>
                  <w:t xml:space="preserve">. </w:t>
                </w:r>
                <w:r w:rsidRPr="00B44A05">
                  <w:rPr>
                    <w:rFonts w:ascii="David" w:hAnsi="David" w:cs="David"/>
                    <w:b/>
                    <w:bCs/>
                    <w:rtl/>
                  </w:rPr>
                  <w:t xml:space="preserve"> ואח' נ' מ</w:t>
                </w:r>
                <w:r>
                  <w:rPr>
                    <w:rFonts w:ascii="David" w:hAnsi="David" w:cs="David" w:hint="cs"/>
                    <w:b/>
                    <w:bCs/>
                    <w:rtl/>
                  </w:rPr>
                  <w:t xml:space="preserve">. </w:t>
                </w:r>
                <w:r w:rsidRPr="00B44A05">
                  <w:rPr>
                    <w:rFonts w:ascii="David" w:hAnsi="David" w:cs="David"/>
                    <w:b/>
                    <w:bCs/>
                    <w:rtl/>
                  </w:rPr>
                  <w:t xml:space="preserve"> (המנוח) ואח' </w:t>
                </w:r>
              </w:p>
              <w:p w:rsidR="00B44A05" w:rsidRPr="00B44A05" w:rsidRDefault="00B44A05" w:rsidP="00B44A05">
                <w:pPr>
                  <w:rPr>
                    <w:rFonts w:ascii="David" w:hAnsi="David" w:cs="David"/>
                    <w:b/>
                    <w:bCs/>
                    <w:rtl/>
                  </w:rPr>
                </w:pPr>
                <w:r w:rsidRPr="00B44A05">
                  <w:rPr>
                    <w:rFonts w:ascii="David" w:hAnsi="David" w:cs="David"/>
                    <w:b/>
                    <w:bCs/>
                    <w:rtl/>
                  </w:rPr>
                  <w:t>ת"א 13817-01-23 מ</w:t>
                </w:r>
                <w:r>
                  <w:rPr>
                    <w:rFonts w:ascii="David" w:hAnsi="David" w:cs="David" w:hint="cs"/>
                    <w:b/>
                    <w:bCs/>
                    <w:rtl/>
                  </w:rPr>
                  <w:t xml:space="preserve">. </w:t>
                </w:r>
                <w:r w:rsidRPr="00B44A05">
                  <w:rPr>
                    <w:rFonts w:ascii="David" w:hAnsi="David" w:cs="David"/>
                    <w:b/>
                    <w:bCs/>
                    <w:rtl/>
                  </w:rPr>
                  <w:t>ואח' נ' מ</w:t>
                </w:r>
                <w:r>
                  <w:rPr>
                    <w:rFonts w:ascii="David" w:hAnsi="David" w:cs="David" w:hint="cs"/>
                    <w:b/>
                    <w:bCs/>
                    <w:rtl/>
                  </w:rPr>
                  <w:t>.</w:t>
                </w:r>
                <w:r w:rsidRPr="00B44A05">
                  <w:rPr>
                    <w:rFonts w:ascii="David" w:hAnsi="David" w:cs="David"/>
                    <w:b/>
                    <w:bCs/>
                    <w:rtl/>
                  </w:rPr>
                  <w:t xml:space="preserve"> </w:t>
                </w:r>
              </w:p>
              <w:p w:rsidR="00B44A05" w:rsidRPr="00C513C0" w:rsidRDefault="00B44A05" w:rsidP="00B44A05">
                <w:pPr>
                  <w:rPr>
                    <w:b/>
                    <w:bCs/>
                    <w:sz w:val="26"/>
                    <w:szCs w:val="26"/>
                    <w:rtl/>
                  </w:rPr>
                </w:pPr>
                <w:r w:rsidRPr="00B44A05">
                  <w:rPr>
                    <w:rFonts w:ascii="David" w:hAnsi="David" w:cs="David"/>
                    <w:b/>
                    <w:bCs/>
                    <w:rtl/>
                  </w:rPr>
                  <w:t xml:space="preserve">ת"א 1791-03-21 </w:t>
                </w:r>
                <w:r w:rsidRPr="00B44A05">
                  <w:rPr>
                    <w:rFonts w:ascii="David" w:hAnsi="David" w:cs="David"/>
                    <w:rtl/>
                  </w:rPr>
                  <w:t xml:space="preserve"> </w:t>
                </w:r>
                <w:r w:rsidRPr="00B44A05">
                  <w:rPr>
                    <w:rFonts w:ascii="David" w:hAnsi="David" w:cs="David"/>
                    <w:b/>
                    <w:bCs/>
                    <w:rtl/>
                  </w:rPr>
                  <w:t>מ</w:t>
                </w:r>
                <w:r>
                  <w:rPr>
                    <w:rFonts w:ascii="David" w:hAnsi="David" w:cs="David" w:hint="cs"/>
                    <w:b/>
                    <w:bCs/>
                    <w:rtl/>
                  </w:rPr>
                  <w:t xml:space="preserve">. </w:t>
                </w:r>
                <w:r w:rsidRPr="00B44A05">
                  <w:rPr>
                    <w:rFonts w:ascii="David" w:hAnsi="David" w:cs="David"/>
                    <w:b/>
                    <w:bCs/>
                    <w:rtl/>
                  </w:rPr>
                  <w:t>ואח' נ' מ</w:t>
                </w:r>
                <w:r>
                  <w:rPr>
                    <w:rFonts w:ascii="David" w:hAnsi="David" w:cs="David" w:hint="cs"/>
                    <w:b/>
                    <w:bCs/>
                    <w:rtl/>
                  </w:rPr>
                  <w:t>.</w:t>
                </w:r>
                <w:r w:rsidRPr="00C513C0">
                  <w:rPr>
                    <w:b/>
                    <w:bCs/>
                    <w:sz w:val="26"/>
                    <w:szCs w:val="26"/>
                    <w:rtl/>
                  </w:rPr>
                  <w:t xml:space="preserve">  </w:t>
                </w:r>
              </w:p>
            </w:tc>
          </w:tr>
        </w:tbl>
        <w:p w:rsidR="00B44A05" w:rsidRDefault="00B44A05" w:rsidP="00B44A05"/>
      </w:tc>
    </w:tr>
  </w:tbl>
  <w:p w:rsidR="000C4FCE" w:rsidRPr="00B44A05" w:rsidRDefault="000C4FC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26A" w:rsidRDefault="001B42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B6C13"/>
    <w:multiLevelType w:val="hybridMultilevel"/>
    <w:tmpl w:val="889890CC"/>
    <w:lvl w:ilvl="0" w:tplc="339AF646">
      <w:start w:val="1"/>
      <w:numFmt w:val="decimal"/>
      <w:lvlText w:val="%1."/>
      <w:lvlJc w:val="center"/>
      <w:pPr>
        <w:ind w:left="501" w:hanging="213"/>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ED26B4"/>
    <w:multiLevelType w:val="hybridMultilevel"/>
    <w:tmpl w:val="94A89082"/>
    <w:lvl w:ilvl="0" w:tplc="AC361E58">
      <w:start w:val="1"/>
      <w:numFmt w:val="decimal"/>
      <w:lvlText w:val="%1."/>
      <w:lvlJc w:val="left"/>
      <w:pPr>
        <w:ind w:left="1080" w:hanging="360"/>
      </w:pPr>
      <w:rPr>
        <w:rFonts w:ascii="Arial" w:hAnsi="Arial" w:hint="default"/>
        <w:b/>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FC1"/>
    <w:rsid w:val="000C4FCE"/>
    <w:rsid w:val="000E4255"/>
    <w:rsid w:val="001B426A"/>
    <w:rsid w:val="003463A9"/>
    <w:rsid w:val="00402910"/>
    <w:rsid w:val="00537024"/>
    <w:rsid w:val="00702DFB"/>
    <w:rsid w:val="007D1087"/>
    <w:rsid w:val="008C5037"/>
    <w:rsid w:val="00944FC1"/>
    <w:rsid w:val="00B44A05"/>
    <w:rsid w:val="00CD0437"/>
    <w:rsid w:val="00D630E5"/>
    <w:rsid w:val="00DA4F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988C73-147B-4F06-AA97-7CC50BA1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44FC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44FC1"/>
    <w:pPr>
      <w:ind w:left="720"/>
      <w:contextualSpacing/>
    </w:pPr>
  </w:style>
  <w:style w:type="paragraph" w:styleId="a5">
    <w:name w:val="header"/>
    <w:basedOn w:val="a"/>
    <w:link w:val="a6"/>
    <w:unhideWhenUsed/>
    <w:rsid w:val="000C4FCE"/>
    <w:pPr>
      <w:tabs>
        <w:tab w:val="center" w:pos="4153"/>
        <w:tab w:val="right" w:pos="8306"/>
      </w:tabs>
      <w:spacing w:after="0" w:line="240" w:lineRule="auto"/>
    </w:pPr>
  </w:style>
  <w:style w:type="character" w:customStyle="1" w:styleId="a6">
    <w:name w:val="כותרת עליונה תו"/>
    <w:basedOn w:val="a0"/>
    <w:link w:val="a5"/>
    <w:rsid w:val="000C4FCE"/>
  </w:style>
  <w:style w:type="paragraph" w:styleId="a7">
    <w:name w:val="footer"/>
    <w:basedOn w:val="a"/>
    <w:link w:val="a8"/>
    <w:uiPriority w:val="99"/>
    <w:unhideWhenUsed/>
    <w:rsid w:val="000C4FCE"/>
    <w:pPr>
      <w:tabs>
        <w:tab w:val="center" w:pos="4153"/>
        <w:tab w:val="right" w:pos="8306"/>
      </w:tabs>
      <w:spacing w:after="0" w:line="240" w:lineRule="auto"/>
    </w:pPr>
  </w:style>
  <w:style w:type="character" w:customStyle="1" w:styleId="a8">
    <w:name w:val="כותרת תחתונה תו"/>
    <w:basedOn w:val="a0"/>
    <w:link w:val="a7"/>
    <w:uiPriority w:val="99"/>
    <w:rsid w:val="000C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73149">
      <w:bodyDiv w:val="1"/>
      <w:marLeft w:val="0"/>
      <w:marRight w:val="0"/>
      <w:marTop w:val="0"/>
      <w:marBottom w:val="0"/>
      <w:divBdr>
        <w:top w:val="none" w:sz="0" w:space="0" w:color="auto"/>
        <w:left w:val="none" w:sz="0" w:space="0" w:color="auto"/>
        <w:bottom w:val="none" w:sz="0" w:space="0" w:color="auto"/>
        <w:right w:val="none" w:sz="0" w:space="0" w:color="auto"/>
      </w:divBdr>
    </w:div>
    <w:div w:id="136610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54AB8-F00D-40AA-B372-8B4E8E828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7360</Words>
  <Characters>36801</Characters>
  <Application>Microsoft Office Word</Application>
  <DocSecurity>0</DocSecurity>
  <Lines>306</Lines>
  <Paragraphs>88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חנה קיציס</dc:creator>
  <cp:keywords/>
  <dc:description/>
  <cp:lastModifiedBy>אסתר טטרואשילי</cp:lastModifiedBy>
  <cp:revision>2</cp:revision>
  <dcterms:created xsi:type="dcterms:W3CDTF">2024-10-14T07:10:00Z</dcterms:created>
  <dcterms:modified xsi:type="dcterms:W3CDTF">2024-10-14T07:10:00Z</dcterms:modified>
</cp:coreProperties>
</file>